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17" w:rsidRPr="00457117" w:rsidRDefault="00457117" w:rsidP="00457117">
      <w:pPr>
        <w:shd w:val="clear" w:color="auto" w:fill="F2F2F2"/>
        <w:spacing w:after="0" w:line="240" w:lineRule="auto"/>
        <w:outlineLvl w:val="0"/>
        <w:rPr>
          <w:rFonts w:ascii="Arial Narrow" w:eastAsia="Times New Roman" w:hAnsi="Arial Narrow" w:cs="Arial"/>
          <w:b/>
          <w:kern w:val="36"/>
          <w:sz w:val="26"/>
          <w:szCs w:val="26"/>
          <w:lang w:eastAsia="en-GB"/>
        </w:rPr>
      </w:pPr>
      <w:proofErr w:type="gramStart"/>
      <w:r w:rsidRPr="00457117">
        <w:rPr>
          <w:rFonts w:ascii="Arial Narrow" w:eastAsia="Times New Roman" w:hAnsi="Arial Narrow" w:cs="Arial"/>
          <w:b/>
          <w:kern w:val="36"/>
          <w:sz w:val="26"/>
          <w:szCs w:val="26"/>
          <w:lang w:eastAsia="en-GB"/>
        </w:rPr>
        <w:t>Democratic deficit?</w:t>
      </w:r>
      <w:proofErr w:type="gramEnd"/>
      <w:r w:rsidRPr="00457117">
        <w:rPr>
          <w:rFonts w:ascii="Arial Narrow" w:eastAsia="Times New Roman" w:hAnsi="Arial Narrow" w:cs="Arial"/>
          <w:b/>
          <w:kern w:val="36"/>
          <w:sz w:val="26"/>
          <w:szCs w:val="26"/>
          <w:lang w:eastAsia="en-GB"/>
        </w:rPr>
        <w:t xml:space="preserve"> The rules on election spending</w:t>
      </w:r>
    </w:p>
    <w:p w:rsidR="00457117" w:rsidRPr="00457117" w:rsidRDefault="00457117" w:rsidP="00457117">
      <w:pPr>
        <w:shd w:val="clear" w:color="auto" w:fill="F2F2F2"/>
        <w:spacing w:after="0" w:line="240" w:lineRule="auto"/>
        <w:rPr>
          <w:rFonts w:ascii="Arial Narrow" w:eastAsia="Times New Roman" w:hAnsi="Arial Narrow" w:cs="Arial"/>
          <w:color w:val="333333"/>
          <w:sz w:val="24"/>
          <w:szCs w:val="24"/>
          <w:lang w:eastAsia="en-GB"/>
        </w:rPr>
      </w:pPr>
    </w:p>
    <w:p w:rsidR="00113A61" w:rsidRDefault="00113A61" w:rsidP="00457117">
      <w:pPr>
        <w:shd w:val="clear" w:color="auto" w:fill="F2F2F2"/>
        <w:spacing w:after="0" w:line="240" w:lineRule="auto"/>
        <w:rPr>
          <w:rFonts w:ascii="Arial Narrow" w:eastAsia="Times New Roman" w:hAnsi="Arial Narrow" w:cs="Arial"/>
          <w:sz w:val="24"/>
          <w:szCs w:val="24"/>
          <w:lang w:eastAsia="en-GB"/>
        </w:rPr>
      </w:pP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Election law prevents political parties and individual candidates from spending more than s</w:t>
      </w:r>
      <w:r w:rsidRPr="00BF3F70">
        <w:rPr>
          <w:rFonts w:ascii="Arial Narrow" w:eastAsia="Times New Roman" w:hAnsi="Arial Narrow" w:cs="Arial"/>
          <w:sz w:val="24"/>
          <w:szCs w:val="24"/>
          <w:lang w:eastAsia="en-GB"/>
        </w:rPr>
        <w:t xml:space="preserve">pecified amounts on campaigning- </w:t>
      </w:r>
      <w:r w:rsidRPr="00457117">
        <w:rPr>
          <w:rFonts w:ascii="Arial Narrow" w:eastAsia="Times New Roman" w:hAnsi="Arial Narrow" w:cs="Arial"/>
          <w:sz w:val="24"/>
          <w:szCs w:val="24"/>
          <w:lang w:eastAsia="en-GB"/>
        </w:rPr>
        <w:t>even if it’s their own money. Accounts and receipts </w:t>
      </w:r>
      <w:hyperlink r:id="rId6" w:anchor="page=8" w:history="1">
        <w:r w:rsidRPr="00457117">
          <w:rPr>
            <w:rFonts w:ascii="Arial Narrow" w:eastAsia="Times New Roman" w:hAnsi="Arial Narrow" w:cs="Arial"/>
            <w:sz w:val="24"/>
            <w:szCs w:val="24"/>
            <w:lang w:eastAsia="en-GB"/>
          </w:rPr>
          <w:t>must be produced</w:t>
        </w:r>
      </w:hyperlink>
      <w:r w:rsidRPr="00457117">
        <w:rPr>
          <w:rFonts w:ascii="Arial Narrow" w:eastAsia="Times New Roman" w:hAnsi="Arial Narrow" w:cs="Arial"/>
          <w:sz w:val="24"/>
          <w:szCs w:val="24"/>
          <w:lang w:eastAsia="en-GB"/>
        </w:rPr>
        <w:t> to ensure compliance.</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The restrictions that cover spending on individual candidates are </w:t>
      </w:r>
      <w:hyperlink r:id="rId7" w:history="1">
        <w:r w:rsidRPr="00457117">
          <w:rPr>
            <w:rFonts w:ascii="Arial Narrow" w:eastAsia="Times New Roman" w:hAnsi="Arial Narrow" w:cs="Arial"/>
            <w:sz w:val="24"/>
            <w:szCs w:val="24"/>
            <w:lang w:eastAsia="en-GB"/>
          </w:rPr>
          <w:t>different from</w:t>
        </w:r>
      </w:hyperlink>
      <w:r w:rsidRPr="00457117">
        <w:rPr>
          <w:rFonts w:ascii="Arial Narrow" w:eastAsia="Times New Roman" w:hAnsi="Arial Narrow" w:cs="Arial"/>
          <w:sz w:val="24"/>
          <w:szCs w:val="24"/>
          <w:lang w:eastAsia="en-GB"/>
        </w:rPr>
        <w:t> the rules that apply to national campaign spending. A party treasurer could be fined or even imprisoned for </w:t>
      </w:r>
      <w:hyperlink r:id="rId8" w:history="1">
        <w:r w:rsidRPr="00457117">
          <w:rPr>
            <w:rFonts w:ascii="Arial Narrow" w:eastAsia="Times New Roman" w:hAnsi="Arial Narrow" w:cs="Arial"/>
            <w:sz w:val="24"/>
            <w:szCs w:val="24"/>
            <w:lang w:eastAsia="en-GB"/>
          </w:rPr>
          <w:t>giving false information</w:t>
        </w:r>
      </w:hyperlink>
      <w:r w:rsidRPr="00457117">
        <w:rPr>
          <w:rFonts w:ascii="Arial Narrow" w:eastAsia="Times New Roman" w:hAnsi="Arial Narrow" w:cs="Arial"/>
          <w:sz w:val="24"/>
          <w:szCs w:val="24"/>
          <w:lang w:eastAsia="en-GB"/>
        </w:rPr>
        <w:t>. An MP convicted of breaking the rules on individual spending must leave parliament and cannot stand again for </w:t>
      </w:r>
      <w:hyperlink r:id="rId9" w:history="1">
        <w:r w:rsidRPr="00457117">
          <w:rPr>
            <w:rFonts w:ascii="Arial Narrow" w:eastAsia="Times New Roman" w:hAnsi="Arial Narrow" w:cs="Arial"/>
            <w:sz w:val="24"/>
            <w:szCs w:val="24"/>
            <w:lang w:eastAsia="en-GB"/>
          </w:rPr>
          <w:t>three years</w:t>
        </w:r>
      </w:hyperlink>
      <w:r w:rsidRPr="00457117">
        <w:rPr>
          <w:rFonts w:ascii="Arial Narrow" w:eastAsia="Times New Roman" w:hAnsi="Arial Narrow" w:cs="Arial"/>
          <w:sz w:val="24"/>
          <w:szCs w:val="24"/>
          <w:lang w:eastAsia="en-GB"/>
        </w:rPr>
        <w:t>.</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All this is meant to ensure that voting is fair. But election expenses law is “</w:t>
      </w:r>
      <w:hyperlink r:id="rId10" w:anchor="page=173" w:history="1">
        <w:r w:rsidRPr="00457117">
          <w:rPr>
            <w:rFonts w:ascii="Arial Narrow" w:eastAsia="Times New Roman" w:hAnsi="Arial Narrow" w:cs="Arial"/>
            <w:sz w:val="24"/>
            <w:szCs w:val="24"/>
            <w:lang w:eastAsia="en-GB"/>
          </w:rPr>
          <w:t>extremely complex</w:t>
        </w:r>
      </w:hyperlink>
      <w:r w:rsidRPr="00457117">
        <w:rPr>
          <w:rFonts w:ascii="Arial Narrow" w:eastAsia="Times New Roman" w:hAnsi="Arial Narrow" w:cs="Arial"/>
          <w:sz w:val="24"/>
          <w:szCs w:val="24"/>
          <w:lang w:eastAsia="en-GB"/>
        </w:rPr>
        <w:t>”</w:t>
      </w:r>
      <w:proofErr w:type="gramStart"/>
      <w:r w:rsidRPr="00457117">
        <w:rPr>
          <w:rFonts w:ascii="Arial Narrow" w:eastAsia="Times New Roman" w:hAnsi="Arial Narrow" w:cs="Arial"/>
          <w:sz w:val="24"/>
          <w:szCs w:val="24"/>
          <w:lang w:eastAsia="en-GB"/>
        </w:rPr>
        <w:t>,</w:t>
      </w:r>
      <w:proofErr w:type="gramEnd"/>
      <w:r w:rsidRPr="00457117">
        <w:rPr>
          <w:rFonts w:ascii="Arial Narrow" w:eastAsia="Times New Roman" w:hAnsi="Arial Narrow" w:cs="Arial"/>
          <w:sz w:val="24"/>
          <w:szCs w:val="24"/>
          <w:lang w:eastAsia="en-GB"/>
        </w:rPr>
        <w:t xml:space="preserve"> according to a report last year from the government’s law reform advisers. Even experts get it wrong.</w:t>
      </w: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In March 2017 the Conservatives were </w:t>
      </w:r>
      <w:hyperlink r:id="rId11" w:anchor="page=4" w:history="1">
        <w:r w:rsidRPr="00457117">
          <w:rPr>
            <w:rFonts w:ascii="Arial Narrow" w:eastAsia="Times New Roman" w:hAnsi="Arial Narrow" w:cs="Arial"/>
            <w:sz w:val="24"/>
            <w:szCs w:val="24"/>
            <w:lang w:eastAsia="en-GB"/>
          </w:rPr>
          <w:t>fined £70,000</w:t>
        </w:r>
      </w:hyperlink>
      <w:r w:rsidRPr="00457117">
        <w:rPr>
          <w:rFonts w:ascii="Arial Narrow" w:eastAsia="Times New Roman" w:hAnsi="Arial Narrow" w:cs="Arial"/>
          <w:sz w:val="24"/>
          <w:szCs w:val="24"/>
          <w:lang w:eastAsia="en-GB"/>
        </w:rPr>
        <w:t> by the Electoral Commission for various breaches of the law on spending at the 2015 general election and by-elections the previous year. The Crown Prosecution Service </w:t>
      </w:r>
      <w:hyperlink r:id="rId12" w:history="1">
        <w:r w:rsidRPr="00457117">
          <w:rPr>
            <w:rFonts w:ascii="Arial Narrow" w:eastAsia="Times New Roman" w:hAnsi="Arial Narrow" w:cs="Arial"/>
            <w:sz w:val="24"/>
            <w:szCs w:val="24"/>
            <w:lang w:eastAsia="en-GB"/>
          </w:rPr>
          <w:t>announced</w:t>
        </w:r>
      </w:hyperlink>
      <w:r w:rsidRPr="00457117">
        <w:rPr>
          <w:rFonts w:ascii="Arial Narrow" w:eastAsia="Times New Roman" w:hAnsi="Arial Narrow" w:cs="Arial"/>
          <w:sz w:val="24"/>
          <w:szCs w:val="24"/>
          <w:lang w:eastAsia="en-GB"/>
        </w:rPr>
        <w:t> in May 2017 that there would be no criminal charges.</w:t>
      </w:r>
    </w:p>
    <w:p w:rsidR="00457117" w:rsidRPr="00113A61" w:rsidRDefault="00457117" w:rsidP="00457117">
      <w:pPr>
        <w:shd w:val="clear" w:color="auto" w:fill="F2F2F2"/>
        <w:spacing w:after="0" w:line="240" w:lineRule="auto"/>
        <w:rPr>
          <w:rFonts w:ascii="Arial Narrow" w:eastAsia="Times New Roman" w:hAnsi="Arial Narrow" w:cs="Arial"/>
          <w:sz w:val="20"/>
          <w:szCs w:val="20"/>
          <w:lang w:eastAsia="en-GB"/>
        </w:rPr>
      </w:pPr>
    </w:p>
    <w:p w:rsidR="00BF3F70" w:rsidRPr="00113A61" w:rsidRDefault="00BF3F70" w:rsidP="00457117">
      <w:pPr>
        <w:shd w:val="clear" w:color="auto" w:fill="F2F2F2"/>
        <w:spacing w:after="0" w:line="240" w:lineRule="auto"/>
        <w:rPr>
          <w:rFonts w:ascii="Arial Narrow" w:eastAsia="Times New Roman" w:hAnsi="Arial Narrow" w:cs="Arial"/>
          <w:b/>
          <w:sz w:val="20"/>
          <w:szCs w:val="20"/>
          <w:lang w:eastAsia="en-GB"/>
        </w:rPr>
      </w:pPr>
    </w:p>
    <w:p w:rsidR="00457117" w:rsidRDefault="00457117" w:rsidP="00457117">
      <w:pPr>
        <w:shd w:val="clear" w:color="auto" w:fill="F2F2F2"/>
        <w:spacing w:after="0" w:line="240" w:lineRule="auto"/>
        <w:rPr>
          <w:rFonts w:ascii="Arial Narrow" w:eastAsia="Times New Roman" w:hAnsi="Arial Narrow" w:cs="Arial"/>
          <w:b/>
          <w:sz w:val="24"/>
          <w:szCs w:val="24"/>
          <w:lang w:eastAsia="en-GB"/>
        </w:rPr>
      </w:pPr>
      <w:r w:rsidRPr="00457117">
        <w:rPr>
          <w:rFonts w:ascii="Arial Narrow" w:eastAsia="Times New Roman" w:hAnsi="Arial Narrow" w:cs="Arial"/>
          <w:b/>
          <w:sz w:val="24"/>
          <w:szCs w:val="24"/>
          <w:lang w:eastAsia="en-GB"/>
        </w:rPr>
        <w:t>What does the law say?</w:t>
      </w:r>
    </w:p>
    <w:p w:rsidR="00BF3F70" w:rsidRPr="00457117" w:rsidRDefault="00BF3F70" w:rsidP="00457117">
      <w:pPr>
        <w:shd w:val="clear" w:color="auto" w:fill="F2F2F2"/>
        <w:spacing w:after="0" w:line="240" w:lineRule="auto"/>
        <w:rPr>
          <w:rFonts w:ascii="Arial Narrow" w:eastAsia="Times New Roman" w:hAnsi="Arial Narrow" w:cs="Arial"/>
          <w:b/>
          <w:sz w:val="10"/>
          <w:szCs w:val="10"/>
          <w:lang w:eastAsia="en-GB"/>
        </w:rPr>
      </w:pP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Much of the law can be found in two acts of parliament:</w:t>
      </w:r>
    </w:p>
    <w:p w:rsidR="00457117" w:rsidRPr="00457117" w:rsidRDefault="00457117" w:rsidP="00457117">
      <w:pPr>
        <w:numPr>
          <w:ilvl w:val="0"/>
          <w:numId w:val="1"/>
        </w:numPr>
        <w:shd w:val="clear" w:color="auto" w:fill="F2F2F2"/>
        <w:spacing w:before="100" w:beforeAutospacing="1" w:after="0" w:line="240" w:lineRule="auto"/>
        <w:ind w:left="495"/>
        <w:rPr>
          <w:rFonts w:ascii="Arial Narrow" w:eastAsia="Times New Roman" w:hAnsi="Arial Narrow" w:cs="Arial"/>
          <w:sz w:val="24"/>
          <w:szCs w:val="24"/>
          <w:lang w:eastAsia="en-GB"/>
        </w:rPr>
      </w:pPr>
      <w:r w:rsidRPr="00457117">
        <w:rPr>
          <w:rFonts w:ascii="Arial Narrow" w:eastAsia="Times New Roman" w:hAnsi="Arial Narrow" w:cs="Arial"/>
          <w:b/>
          <w:bCs/>
          <w:sz w:val="24"/>
          <w:szCs w:val="24"/>
          <w:lang w:eastAsia="en-GB"/>
        </w:rPr>
        <w:t>Political Parties, Elections and Referendums Act 2000</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This imposes </w:t>
      </w:r>
      <w:hyperlink r:id="rId13" w:history="1">
        <w:r w:rsidRPr="00457117">
          <w:rPr>
            <w:rFonts w:ascii="Arial Narrow" w:eastAsia="Times New Roman" w:hAnsi="Arial Narrow" w:cs="Arial"/>
            <w:sz w:val="24"/>
            <w:szCs w:val="24"/>
            <w:lang w:eastAsia="en-GB"/>
          </w:rPr>
          <w:t>restrictions</w:t>
        </w:r>
      </w:hyperlink>
      <w:r w:rsidRPr="00457117">
        <w:rPr>
          <w:rFonts w:ascii="Arial Narrow" w:eastAsia="Times New Roman" w:hAnsi="Arial Narrow" w:cs="Arial"/>
          <w:sz w:val="24"/>
          <w:szCs w:val="24"/>
          <w:lang w:eastAsia="en-GB"/>
        </w:rPr>
        <w:t> on campaign spending by political parties.</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The act also </w:t>
      </w:r>
      <w:hyperlink r:id="rId14" w:history="1">
        <w:r w:rsidRPr="00457117">
          <w:rPr>
            <w:rFonts w:ascii="Arial Narrow" w:eastAsia="Times New Roman" w:hAnsi="Arial Narrow" w:cs="Arial"/>
            <w:sz w:val="24"/>
            <w:szCs w:val="24"/>
            <w:lang w:eastAsia="en-GB"/>
          </w:rPr>
          <w:t>set up</w:t>
        </w:r>
      </w:hyperlink>
      <w:r w:rsidRPr="00457117">
        <w:rPr>
          <w:rFonts w:ascii="Arial Narrow" w:eastAsia="Times New Roman" w:hAnsi="Arial Narrow" w:cs="Arial"/>
          <w:sz w:val="24"/>
          <w:szCs w:val="24"/>
          <w:lang w:eastAsia="en-GB"/>
        </w:rPr>
        <w:t> the Electoral Commission to </w:t>
      </w:r>
      <w:hyperlink r:id="rId15" w:history="1">
        <w:r w:rsidRPr="00457117">
          <w:rPr>
            <w:rFonts w:ascii="Arial Narrow" w:eastAsia="Times New Roman" w:hAnsi="Arial Narrow" w:cs="Arial"/>
            <w:sz w:val="24"/>
            <w:szCs w:val="24"/>
            <w:lang w:eastAsia="en-GB"/>
          </w:rPr>
          <w:t>regulate political funding and spending</w:t>
        </w:r>
      </w:hyperlink>
      <w:r w:rsidRPr="00457117">
        <w:rPr>
          <w:rFonts w:ascii="Arial Narrow" w:eastAsia="Times New Roman" w:hAnsi="Arial Narrow" w:cs="Arial"/>
          <w:sz w:val="24"/>
          <w:szCs w:val="24"/>
          <w:lang w:eastAsia="en-GB"/>
        </w:rPr>
        <w:t>.</w:t>
      </w:r>
    </w:p>
    <w:p w:rsidR="00457117" w:rsidRPr="00457117" w:rsidRDefault="00457117" w:rsidP="00457117">
      <w:pPr>
        <w:numPr>
          <w:ilvl w:val="0"/>
          <w:numId w:val="2"/>
        </w:numPr>
        <w:shd w:val="clear" w:color="auto" w:fill="F2F2F2"/>
        <w:spacing w:before="100" w:beforeAutospacing="1" w:after="0" w:line="240" w:lineRule="auto"/>
        <w:ind w:left="495"/>
        <w:rPr>
          <w:rFonts w:ascii="Arial Narrow" w:eastAsia="Times New Roman" w:hAnsi="Arial Narrow" w:cs="Arial"/>
          <w:sz w:val="24"/>
          <w:szCs w:val="24"/>
          <w:lang w:eastAsia="en-GB"/>
        </w:rPr>
      </w:pPr>
      <w:r w:rsidRPr="00457117">
        <w:rPr>
          <w:rFonts w:ascii="Arial Narrow" w:eastAsia="Times New Roman" w:hAnsi="Arial Narrow" w:cs="Arial"/>
          <w:b/>
          <w:bCs/>
          <w:sz w:val="24"/>
          <w:szCs w:val="24"/>
          <w:lang w:eastAsia="en-GB"/>
        </w:rPr>
        <w:t>Representation of the People Act 1983</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This act updated long-standing </w:t>
      </w:r>
      <w:hyperlink r:id="rId16" w:history="1">
        <w:r w:rsidRPr="00457117">
          <w:rPr>
            <w:rFonts w:ascii="Arial Narrow" w:eastAsia="Times New Roman" w:hAnsi="Arial Narrow" w:cs="Arial"/>
            <w:sz w:val="24"/>
            <w:szCs w:val="24"/>
            <w:lang w:eastAsia="en-GB"/>
          </w:rPr>
          <w:t>restrictions</w:t>
        </w:r>
      </w:hyperlink>
      <w:r w:rsidRPr="00457117">
        <w:rPr>
          <w:rFonts w:ascii="Arial Narrow" w:eastAsia="Times New Roman" w:hAnsi="Arial Narrow" w:cs="Arial"/>
          <w:sz w:val="24"/>
          <w:szCs w:val="24"/>
          <w:lang w:eastAsia="en-GB"/>
        </w:rPr>
        <w:t> on spending by </w:t>
      </w:r>
      <w:r w:rsidRPr="00457117">
        <w:rPr>
          <w:rFonts w:ascii="Arial Narrow" w:eastAsia="Times New Roman" w:hAnsi="Arial Narrow" w:cs="Arial"/>
          <w:i/>
          <w:iCs/>
          <w:sz w:val="24"/>
          <w:szCs w:val="24"/>
          <w:lang w:eastAsia="en-GB"/>
        </w:rPr>
        <w:t>individual candidates</w:t>
      </w:r>
      <w:r w:rsidRPr="00457117">
        <w:rPr>
          <w:rFonts w:ascii="Arial Narrow" w:eastAsia="Times New Roman" w:hAnsi="Arial Narrow" w:cs="Arial"/>
          <w:sz w:val="24"/>
          <w:szCs w:val="24"/>
          <w:lang w:eastAsia="en-GB"/>
        </w:rPr>
        <w:t> at elections. It </w:t>
      </w:r>
      <w:hyperlink r:id="rId17" w:history="1">
        <w:r w:rsidRPr="00457117">
          <w:rPr>
            <w:rFonts w:ascii="Arial Narrow" w:eastAsia="Times New Roman" w:hAnsi="Arial Narrow" w:cs="Arial"/>
            <w:sz w:val="24"/>
            <w:szCs w:val="24"/>
            <w:lang w:eastAsia="en-GB"/>
          </w:rPr>
          <w:t>consolidated legislation</w:t>
        </w:r>
      </w:hyperlink>
      <w:r w:rsidRPr="00457117">
        <w:rPr>
          <w:rFonts w:ascii="Arial Narrow" w:eastAsia="Times New Roman" w:hAnsi="Arial Narrow" w:cs="Arial"/>
          <w:sz w:val="24"/>
          <w:szCs w:val="24"/>
          <w:lang w:eastAsia="en-GB"/>
        </w:rPr>
        <w:t> dating back a century or more—but made no mention of political parties.</w:t>
      </w: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Both acts have been amended by subsequent legislation.</w:t>
      </w:r>
    </w:p>
    <w:p w:rsidR="00457117" w:rsidRPr="00113A61" w:rsidRDefault="00457117" w:rsidP="00457117">
      <w:pPr>
        <w:shd w:val="clear" w:color="auto" w:fill="F2F2F2"/>
        <w:spacing w:after="0" w:line="240" w:lineRule="auto"/>
        <w:rPr>
          <w:rFonts w:ascii="Arial Narrow" w:eastAsia="Times New Roman" w:hAnsi="Arial Narrow" w:cs="Arial"/>
          <w:sz w:val="20"/>
          <w:szCs w:val="20"/>
          <w:lang w:eastAsia="en-GB"/>
        </w:rPr>
      </w:pPr>
    </w:p>
    <w:p w:rsidR="00BF3F70" w:rsidRPr="00113A61" w:rsidRDefault="00BF3F70" w:rsidP="00457117">
      <w:pPr>
        <w:shd w:val="clear" w:color="auto" w:fill="F2F2F2"/>
        <w:spacing w:after="0" w:line="240" w:lineRule="auto"/>
        <w:rPr>
          <w:rFonts w:ascii="Arial Narrow" w:eastAsia="Times New Roman" w:hAnsi="Arial Narrow" w:cs="Arial"/>
          <w:b/>
          <w:sz w:val="20"/>
          <w:szCs w:val="20"/>
          <w:lang w:eastAsia="en-GB"/>
        </w:rPr>
      </w:pPr>
    </w:p>
    <w:p w:rsidR="00457117" w:rsidRDefault="00457117" w:rsidP="00457117">
      <w:pPr>
        <w:shd w:val="clear" w:color="auto" w:fill="F2F2F2"/>
        <w:spacing w:after="0" w:line="240" w:lineRule="auto"/>
        <w:rPr>
          <w:rFonts w:ascii="Arial Narrow" w:eastAsia="Times New Roman" w:hAnsi="Arial Narrow" w:cs="Arial"/>
          <w:b/>
          <w:sz w:val="24"/>
          <w:szCs w:val="24"/>
          <w:lang w:eastAsia="en-GB"/>
        </w:rPr>
      </w:pPr>
      <w:r w:rsidRPr="00457117">
        <w:rPr>
          <w:rFonts w:ascii="Arial Narrow" w:eastAsia="Times New Roman" w:hAnsi="Arial Narrow" w:cs="Arial"/>
          <w:b/>
          <w:sz w:val="24"/>
          <w:szCs w:val="24"/>
          <w:lang w:eastAsia="en-GB"/>
        </w:rPr>
        <w:t>Spending by political parties</w:t>
      </w:r>
    </w:p>
    <w:p w:rsidR="00BF3F70" w:rsidRPr="00457117" w:rsidRDefault="00BF3F70" w:rsidP="00457117">
      <w:pPr>
        <w:shd w:val="clear" w:color="auto" w:fill="F2F2F2"/>
        <w:spacing w:after="0" w:line="240" w:lineRule="auto"/>
        <w:rPr>
          <w:rFonts w:ascii="Arial Narrow" w:eastAsia="Times New Roman" w:hAnsi="Arial Narrow" w:cs="Arial"/>
          <w:b/>
          <w:sz w:val="10"/>
          <w:szCs w:val="10"/>
          <w:lang w:eastAsia="en-GB"/>
        </w:rPr>
      </w:pP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At national level, the treasurer of a registered political party </w:t>
      </w:r>
      <w:hyperlink r:id="rId18" w:history="1">
        <w:r w:rsidRPr="00457117">
          <w:rPr>
            <w:rFonts w:ascii="Arial Narrow" w:eastAsia="Times New Roman" w:hAnsi="Arial Narrow" w:cs="Arial"/>
            <w:sz w:val="24"/>
            <w:szCs w:val="24"/>
            <w:lang w:eastAsia="en-GB"/>
          </w:rPr>
          <w:t>must report</w:t>
        </w:r>
      </w:hyperlink>
      <w:r w:rsidRPr="00457117">
        <w:rPr>
          <w:rFonts w:ascii="Arial Narrow" w:eastAsia="Times New Roman" w:hAnsi="Arial Narrow" w:cs="Arial"/>
          <w:sz w:val="24"/>
          <w:szCs w:val="24"/>
          <w:lang w:eastAsia="en-GB"/>
        </w:rPr>
        <w:t> campaign expenditure to the Electoral Commission. Failure to do so is an </w:t>
      </w:r>
      <w:hyperlink r:id="rId19" w:history="1">
        <w:r w:rsidRPr="00457117">
          <w:rPr>
            <w:rFonts w:ascii="Arial Narrow" w:eastAsia="Times New Roman" w:hAnsi="Arial Narrow" w:cs="Arial"/>
            <w:sz w:val="24"/>
            <w:szCs w:val="24"/>
            <w:lang w:eastAsia="en-GB"/>
          </w:rPr>
          <w:t>offence</w:t>
        </w:r>
      </w:hyperlink>
      <w:r w:rsidRPr="00457117">
        <w:rPr>
          <w:rFonts w:ascii="Arial Narrow" w:eastAsia="Times New Roman" w:hAnsi="Arial Narrow" w:cs="Arial"/>
          <w:sz w:val="24"/>
          <w:szCs w:val="24"/>
          <w:lang w:eastAsia="en-GB"/>
        </w:rPr>
        <w:t>, as is knowingly or recklessly making a </w:t>
      </w:r>
      <w:hyperlink r:id="rId20" w:history="1">
        <w:r w:rsidRPr="00457117">
          <w:rPr>
            <w:rFonts w:ascii="Arial Narrow" w:eastAsia="Times New Roman" w:hAnsi="Arial Narrow" w:cs="Arial"/>
            <w:sz w:val="24"/>
            <w:szCs w:val="24"/>
            <w:lang w:eastAsia="en-GB"/>
          </w:rPr>
          <w:t>false declaration</w:t>
        </w:r>
      </w:hyperlink>
      <w:r w:rsidRPr="00457117">
        <w:rPr>
          <w:rFonts w:ascii="Arial Narrow" w:eastAsia="Times New Roman" w:hAnsi="Arial Narrow" w:cs="Arial"/>
          <w:sz w:val="24"/>
          <w:szCs w:val="24"/>
          <w:lang w:eastAsia="en-GB"/>
        </w:rPr>
        <w:t> of the expenditure. The treasurer is also under a duty to keep accounting records to “</w:t>
      </w:r>
      <w:hyperlink r:id="rId21" w:history="1">
        <w:r w:rsidRPr="00457117">
          <w:rPr>
            <w:rFonts w:ascii="Arial Narrow" w:eastAsia="Times New Roman" w:hAnsi="Arial Narrow" w:cs="Arial"/>
            <w:sz w:val="24"/>
            <w:szCs w:val="24"/>
            <w:lang w:eastAsia="en-GB"/>
          </w:rPr>
          <w:t>show and explain the party’s transactions</w:t>
        </w:r>
      </w:hyperlink>
      <w:r w:rsidRPr="00457117">
        <w:rPr>
          <w:rFonts w:ascii="Arial Narrow" w:eastAsia="Times New Roman" w:hAnsi="Arial Narrow" w:cs="Arial"/>
          <w:sz w:val="24"/>
          <w:szCs w:val="24"/>
          <w:lang w:eastAsia="en-GB"/>
        </w:rPr>
        <w:t>”.</w:t>
      </w: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Campaign expenditure is </w:t>
      </w:r>
      <w:hyperlink r:id="rId22" w:history="1">
        <w:r w:rsidRPr="00457117">
          <w:rPr>
            <w:rFonts w:ascii="Arial Narrow" w:eastAsia="Times New Roman" w:hAnsi="Arial Narrow" w:cs="Arial"/>
            <w:sz w:val="24"/>
            <w:szCs w:val="24"/>
            <w:lang w:eastAsia="en-GB"/>
          </w:rPr>
          <w:t>broadly defined</w:t>
        </w:r>
      </w:hyperlink>
      <w:r w:rsidRPr="00457117">
        <w:rPr>
          <w:rFonts w:ascii="Arial Narrow" w:eastAsia="Times New Roman" w:hAnsi="Arial Narrow" w:cs="Arial"/>
          <w:sz w:val="24"/>
          <w:szCs w:val="24"/>
          <w:lang w:eastAsia="en-GB"/>
        </w:rPr>
        <w:t> and normally covers spending </w:t>
      </w:r>
      <w:hyperlink r:id="rId23" w:history="1">
        <w:r w:rsidRPr="00457117">
          <w:rPr>
            <w:rFonts w:ascii="Arial Narrow" w:eastAsia="Times New Roman" w:hAnsi="Arial Narrow" w:cs="Arial"/>
            <w:sz w:val="24"/>
            <w:szCs w:val="24"/>
            <w:lang w:eastAsia="en-GB"/>
          </w:rPr>
          <w:t>in the year</w:t>
        </w:r>
      </w:hyperlink>
      <w:r w:rsidRPr="00BF3F70">
        <w:rPr>
          <w:rFonts w:ascii="Arial Narrow" w:eastAsia="Times New Roman" w:hAnsi="Arial Narrow" w:cs="Arial"/>
          <w:sz w:val="24"/>
          <w:szCs w:val="24"/>
          <w:lang w:eastAsia="en-GB"/>
        </w:rPr>
        <w:t xml:space="preserve"> </w:t>
      </w:r>
      <w:r w:rsidRPr="00457117">
        <w:rPr>
          <w:rFonts w:ascii="Arial Narrow" w:eastAsia="Times New Roman" w:hAnsi="Arial Narrow" w:cs="Arial"/>
          <w:sz w:val="24"/>
          <w:szCs w:val="24"/>
          <w:lang w:eastAsia="en-GB"/>
        </w:rPr>
        <w:t>before a general election. The requirements also cover spending at a by-election.</w:t>
      </w:r>
    </w:p>
    <w:p w:rsidR="00457117" w:rsidRPr="00113A61" w:rsidRDefault="00457117" w:rsidP="00457117">
      <w:pPr>
        <w:shd w:val="clear" w:color="auto" w:fill="F2F2F2"/>
        <w:spacing w:after="0" w:line="240" w:lineRule="auto"/>
        <w:rPr>
          <w:rFonts w:ascii="Arial Narrow" w:eastAsia="Times New Roman" w:hAnsi="Arial Narrow" w:cs="Arial"/>
          <w:sz w:val="20"/>
          <w:szCs w:val="20"/>
          <w:lang w:eastAsia="en-GB"/>
        </w:rPr>
      </w:pPr>
    </w:p>
    <w:p w:rsidR="00113A61" w:rsidRPr="00457117" w:rsidRDefault="00113A61" w:rsidP="00457117">
      <w:pPr>
        <w:shd w:val="clear" w:color="auto" w:fill="F2F2F2"/>
        <w:spacing w:after="0" w:line="240" w:lineRule="auto"/>
        <w:rPr>
          <w:rFonts w:ascii="Arial Narrow" w:eastAsia="Times New Roman" w:hAnsi="Arial Narrow" w:cs="Arial"/>
          <w:sz w:val="20"/>
          <w:szCs w:val="20"/>
          <w:lang w:eastAsia="en-GB"/>
        </w:rPr>
      </w:pPr>
    </w:p>
    <w:p w:rsidR="00457117" w:rsidRDefault="00457117" w:rsidP="00457117">
      <w:pPr>
        <w:shd w:val="clear" w:color="auto" w:fill="F2F2F2"/>
        <w:spacing w:after="0" w:line="240" w:lineRule="auto"/>
        <w:rPr>
          <w:rFonts w:ascii="Arial Narrow" w:eastAsia="Times New Roman" w:hAnsi="Arial Narrow" w:cs="Arial"/>
          <w:b/>
          <w:sz w:val="24"/>
          <w:szCs w:val="24"/>
          <w:lang w:eastAsia="en-GB"/>
        </w:rPr>
      </w:pPr>
      <w:r w:rsidRPr="00457117">
        <w:rPr>
          <w:rFonts w:ascii="Arial Narrow" w:eastAsia="Times New Roman" w:hAnsi="Arial Narrow" w:cs="Arial"/>
          <w:b/>
          <w:sz w:val="24"/>
          <w:szCs w:val="24"/>
          <w:lang w:eastAsia="en-GB"/>
        </w:rPr>
        <w:t>At national level</w:t>
      </w:r>
    </w:p>
    <w:p w:rsidR="00BF3F70" w:rsidRPr="00BF3F70" w:rsidRDefault="00BF3F70" w:rsidP="00457117">
      <w:pPr>
        <w:shd w:val="clear" w:color="auto" w:fill="F2F2F2"/>
        <w:spacing w:after="0" w:line="240" w:lineRule="auto"/>
        <w:rPr>
          <w:rFonts w:ascii="Arial Narrow" w:eastAsia="Times New Roman" w:hAnsi="Arial Narrow" w:cs="Arial"/>
          <w:sz w:val="10"/>
          <w:szCs w:val="10"/>
          <w:lang w:eastAsia="en-GB"/>
        </w:rPr>
      </w:pP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BF3F70">
        <w:rPr>
          <w:rFonts w:ascii="Arial Narrow" w:eastAsia="Times New Roman" w:hAnsi="Arial Narrow" w:cs="Arial"/>
          <w:sz w:val="24"/>
          <w:szCs w:val="24"/>
          <w:lang w:eastAsia="en-GB"/>
        </w:rPr>
        <w:t>A</w:t>
      </w:r>
      <w:r w:rsidRPr="00457117">
        <w:rPr>
          <w:rFonts w:ascii="Arial Narrow" w:eastAsia="Times New Roman" w:hAnsi="Arial Narrow" w:cs="Arial"/>
          <w:sz w:val="24"/>
          <w:szCs w:val="24"/>
          <w:lang w:eastAsia="en-GB"/>
        </w:rPr>
        <w:t xml:space="preserve"> registered political party can spend </w:t>
      </w:r>
      <w:hyperlink r:id="rId24" w:history="1">
        <w:r w:rsidRPr="00457117">
          <w:rPr>
            <w:rFonts w:ascii="Arial Narrow" w:eastAsia="Times New Roman" w:hAnsi="Arial Narrow" w:cs="Arial"/>
            <w:sz w:val="24"/>
            <w:szCs w:val="24"/>
            <w:lang w:eastAsia="en-GB"/>
          </w:rPr>
          <w:t>£30,000</w:t>
        </w:r>
      </w:hyperlink>
      <w:r w:rsidRPr="00457117">
        <w:rPr>
          <w:rFonts w:ascii="Arial Narrow" w:eastAsia="Times New Roman" w:hAnsi="Arial Narrow" w:cs="Arial"/>
          <w:sz w:val="24"/>
          <w:szCs w:val="24"/>
          <w:lang w:eastAsia="en-GB"/>
        </w:rPr>
        <w:t> for each constituency that it contests at a general election. So a party fighting 650 seats could spend up to </w:t>
      </w:r>
      <w:hyperlink r:id="rId25" w:history="1">
        <w:r w:rsidRPr="00457117">
          <w:rPr>
            <w:rFonts w:ascii="Arial Narrow" w:eastAsia="Times New Roman" w:hAnsi="Arial Narrow" w:cs="Arial"/>
            <w:sz w:val="24"/>
            <w:szCs w:val="24"/>
            <w:lang w:eastAsia="en-GB"/>
          </w:rPr>
          <w:t>£19.5 million</w:t>
        </w:r>
      </w:hyperlink>
      <w:r w:rsidRPr="00457117">
        <w:rPr>
          <w:rFonts w:ascii="Arial Narrow" w:eastAsia="Times New Roman" w:hAnsi="Arial Narrow" w:cs="Arial"/>
          <w:sz w:val="24"/>
          <w:szCs w:val="24"/>
          <w:lang w:eastAsia="en-GB"/>
        </w:rPr>
        <w:t> across the UK.</w:t>
      </w: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However, campaign expenditure does not include spending designed to enhance the prospects of an individual candidate.</w:t>
      </w:r>
    </w:p>
    <w:p w:rsidR="00457117" w:rsidRDefault="00457117" w:rsidP="00457117">
      <w:pPr>
        <w:shd w:val="clear" w:color="auto" w:fill="F2F2F2"/>
        <w:spacing w:after="0" w:line="240" w:lineRule="auto"/>
        <w:rPr>
          <w:rFonts w:ascii="Arial Narrow" w:eastAsia="Times New Roman" w:hAnsi="Arial Narrow" w:cs="Arial"/>
          <w:sz w:val="24"/>
          <w:szCs w:val="24"/>
          <w:lang w:eastAsia="en-GB"/>
        </w:rPr>
      </w:pPr>
    </w:p>
    <w:p w:rsidR="00113A61" w:rsidRDefault="00113A61" w:rsidP="00457117">
      <w:pPr>
        <w:shd w:val="clear" w:color="auto" w:fill="F2F2F2"/>
        <w:spacing w:after="0" w:line="240" w:lineRule="auto"/>
        <w:rPr>
          <w:rFonts w:ascii="Arial Narrow" w:eastAsia="Times New Roman" w:hAnsi="Arial Narrow" w:cs="Arial"/>
          <w:sz w:val="24"/>
          <w:szCs w:val="24"/>
          <w:lang w:eastAsia="en-GB"/>
        </w:rPr>
      </w:pPr>
    </w:p>
    <w:p w:rsidR="00113A61" w:rsidRDefault="00113A61" w:rsidP="00457117">
      <w:pPr>
        <w:shd w:val="clear" w:color="auto" w:fill="F2F2F2"/>
        <w:spacing w:after="0" w:line="240" w:lineRule="auto"/>
        <w:rPr>
          <w:rFonts w:ascii="Arial Narrow" w:eastAsia="Times New Roman" w:hAnsi="Arial Narrow" w:cs="Arial"/>
          <w:sz w:val="24"/>
          <w:szCs w:val="24"/>
          <w:lang w:eastAsia="en-GB"/>
        </w:rPr>
      </w:pPr>
    </w:p>
    <w:p w:rsidR="00113A61" w:rsidRDefault="00113A61" w:rsidP="00457117">
      <w:pPr>
        <w:shd w:val="clear" w:color="auto" w:fill="F2F2F2"/>
        <w:spacing w:after="0" w:line="240" w:lineRule="auto"/>
        <w:rPr>
          <w:rFonts w:ascii="Arial Narrow" w:eastAsia="Times New Roman" w:hAnsi="Arial Narrow" w:cs="Arial"/>
          <w:sz w:val="24"/>
          <w:szCs w:val="24"/>
          <w:lang w:eastAsia="en-GB"/>
        </w:rPr>
      </w:pPr>
    </w:p>
    <w:p w:rsidR="00457117" w:rsidRDefault="00457117" w:rsidP="00457117">
      <w:pPr>
        <w:shd w:val="clear" w:color="auto" w:fill="F2F2F2"/>
        <w:spacing w:after="0" w:line="240" w:lineRule="auto"/>
        <w:rPr>
          <w:rFonts w:ascii="Arial Narrow" w:eastAsia="Times New Roman" w:hAnsi="Arial Narrow" w:cs="Arial"/>
          <w:b/>
          <w:sz w:val="24"/>
          <w:szCs w:val="24"/>
          <w:lang w:eastAsia="en-GB"/>
        </w:rPr>
      </w:pPr>
      <w:r w:rsidRPr="00457117">
        <w:rPr>
          <w:rFonts w:ascii="Arial Narrow" w:eastAsia="Times New Roman" w:hAnsi="Arial Narrow" w:cs="Arial"/>
          <w:b/>
          <w:sz w:val="24"/>
          <w:szCs w:val="24"/>
          <w:lang w:eastAsia="en-GB"/>
        </w:rPr>
        <w:lastRenderedPageBreak/>
        <w:t>Spending by individual candidates</w:t>
      </w:r>
    </w:p>
    <w:p w:rsidR="00BF3F70" w:rsidRPr="00457117" w:rsidRDefault="00BF3F70" w:rsidP="00457117">
      <w:pPr>
        <w:shd w:val="clear" w:color="auto" w:fill="F2F2F2"/>
        <w:spacing w:after="0" w:line="240" w:lineRule="auto"/>
        <w:rPr>
          <w:rFonts w:ascii="Arial Narrow" w:eastAsia="Times New Roman" w:hAnsi="Arial Narrow" w:cs="Arial"/>
          <w:b/>
          <w:sz w:val="10"/>
          <w:szCs w:val="10"/>
          <w:lang w:eastAsia="en-GB"/>
        </w:rPr>
      </w:pP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At local level, election expenses </w:t>
      </w:r>
      <w:hyperlink r:id="rId26" w:history="1">
        <w:r w:rsidRPr="00457117">
          <w:rPr>
            <w:rFonts w:ascii="Arial Narrow" w:eastAsia="Times New Roman" w:hAnsi="Arial Narrow" w:cs="Arial"/>
            <w:sz w:val="24"/>
            <w:szCs w:val="24"/>
            <w:lang w:eastAsia="en-GB"/>
          </w:rPr>
          <w:t>include</w:t>
        </w:r>
      </w:hyperlink>
      <w:r w:rsidRPr="00457117">
        <w:rPr>
          <w:rFonts w:ascii="Arial Narrow" w:eastAsia="Times New Roman" w:hAnsi="Arial Narrow" w:cs="Arial"/>
          <w:sz w:val="24"/>
          <w:szCs w:val="24"/>
          <w:lang w:eastAsia="en-GB"/>
        </w:rPr>
        <w:t> advertising, leaflets sent to voters, transport, public meetings, staff, and accommodation and administrative costs. There are exceptions for personal and basic expenses.</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All spending </w:t>
      </w:r>
      <w:hyperlink r:id="rId27" w:history="1">
        <w:r w:rsidRPr="00457117">
          <w:rPr>
            <w:rFonts w:ascii="Arial Narrow" w:eastAsia="Times New Roman" w:hAnsi="Arial Narrow" w:cs="Arial"/>
            <w:sz w:val="24"/>
            <w:szCs w:val="24"/>
            <w:lang w:eastAsia="en-GB"/>
          </w:rPr>
          <w:t>must be channelled</w:t>
        </w:r>
      </w:hyperlink>
      <w:r w:rsidRPr="00457117">
        <w:rPr>
          <w:rFonts w:ascii="Arial Narrow" w:eastAsia="Times New Roman" w:hAnsi="Arial Narrow" w:cs="Arial"/>
          <w:sz w:val="24"/>
          <w:szCs w:val="24"/>
          <w:lang w:eastAsia="en-GB"/>
        </w:rPr>
        <w:t> through a candidate’s agent, who must keep within prescribed limits and report the amount spent to the returning officer.</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The maximum permitted local expenditure at</w:t>
      </w:r>
      <w:r w:rsidRPr="00BF3F70">
        <w:rPr>
          <w:rFonts w:ascii="Arial Narrow" w:eastAsia="Times New Roman" w:hAnsi="Arial Narrow" w:cs="Arial"/>
          <w:sz w:val="24"/>
          <w:szCs w:val="24"/>
          <w:lang w:eastAsia="en-GB"/>
        </w:rPr>
        <w:t xml:space="preserve"> a UK parliamentary by-election</w:t>
      </w:r>
      <w:r w:rsidRPr="00457117">
        <w:rPr>
          <w:rFonts w:ascii="Arial Narrow" w:eastAsia="Times New Roman" w:hAnsi="Arial Narrow" w:cs="Arial"/>
          <w:sz w:val="24"/>
          <w:szCs w:val="24"/>
          <w:lang w:eastAsia="en-GB"/>
        </w:rPr>
        <w:t xml:space="preserve"> is </w:t>
      </w:r>
      <w:hyperlink r:id="rId28" w:history="1">
        <w:r w:rsidRPr="00457117">
          <w:rPr>
            <w:rFonts w:ascii="Arial Narrow" w:eastAsia="Times New Roman" w:hAnsi="Arial Narrow" w:cs="Arial"/>
            <w:sz w:val="24"/>
            <w:szCs w:val="24"/>
            <w:lang w:eastAsia="en-GB"/>
          </w:rPr>
          <w:t>£100,000</w:t>
        </w:r>
      </w:hyperlink>
      <w:r w:rsidRPr="00457117">
        <w:rPr>
          <w:rFonts w:ascii="Arial Narrow" w:eastAsia="Times New Roman" w:hAnsi="Arial Narrow" w:cs="Arial"/>
          <w:sz w:val="24"/>
          <w:szCs w:val="24"/>
          <w:lang w:eastAsia="en-GB"/>
        </w:rPr>
        <w:t>.</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In a general election, the maximum a candidate can spend in the 25 days before polling day is much lower: </w:t>
      </w:r>
      <w:hyperlink r:id="rId29" w:anchor="page=9" w:history="1">
        <w:r w:rsidRPr="00457117">
          <w:rPr>
            <w:rFonts w:ascii="Arial Narrow" w:eastAsia="Times New Roman" w:hAnsi="Arial Narrow" w:cs="Arial"/>
            <w:sz w:val="24"/>
            <w:szCs w:val="24"/>
            <w:lang w:eastAsia="en-GB"/>
          </w:rPr>
          <w:t>roughly between</w:t>
        </w:r>
      </w:hyperlink>
      <w:r w:rsidRPr="00457117">
        <w:rPr>
          <w:rFonts w:ascii="Arial Narrow" w:eastAsia="Times New Roman" w:hAnsi="Arial Narrow" w:cs="Arial"/>
          <w:sz w:val="24"/>
          <w:szCs w:val="24"/>
          <w:lang w:eastAsia="en-GB"/>
        </w:rPr>
        <w:t> £10,000 and £16,000, </w:t>
      </w:r>
      <w:hyperlink r:id="rId30" w:history="1">
        <w:r w:rsidRPr="00457117">
          <w:rPr>
            <w:rFonts w:ascii="Arial Narrow" w:eastAsia="Times New Roman" w:hAnsi="Arial Narrow" w:cs="Arial"/>
            <w:sz w:val="24"/>
            <w:szCs w:val="24"/>
            <w:lang w:eastAsia="en-GB"/>
          </w:rPr>
          <w:t>depending on</w:t>
        </w:r>
      </w:hyperlink>
      <w:r w:rsidRPr="00BF3F70">
        <w:rPr>
          <w:rFonts w:ascii="Arial Narrow" w:eastAsia="Times New Roman" w:hAnsi="Arial Narrow" w:cs="Arial"/>
          <w:sz w:val="24"/>
          <w:szCs w:val="24"/>
          <w:lang w:eastAsia="en-GB"/>
        </w:rPr>
        <w:t xml:space="preserve"> </w:t>
      </w:r>
      <w:r w:rsidRPr="00457117">
        <w:rPr>
          <w:rFonts w:ascii="Arial Narrow" w:eastAsia="Times New Roman" w:hAnsi="Arial Narrow" w:cs="Arial"/>
          <w:sz w:val="24"/>
          <w:szCs w:val="24"/>
          <w:lang w:eastAsia="en-GB"/>
        </w:rPr>
        <w:t>the number of voters and whether it is a borough or county constituency.</w:t>
      </w: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Election agents are </w:t>
      </w:r>
      <w:hyperlink r:id="rId31" w:history="1">
        <w:r w:rsidRPr="00457117">
          <w:rPr>
            <w:rFonts w:ascii="Arial Narrow" w:eastAsia="Times New Roman" w:hAnsi="Arial Narrow" w:cs="Arial"/>
            <w:sz w:val="24"/>
            <w:szCs w:val="24"/>
            <w:lang w:eastAsia="en-GB"/>
          </w:rPr>
          <w:t>required to</w:t>
        </w:r>
      </w:hyperlink>
      <w:r w:rsidRPr="00457117">
        <w:rPr>
          <w:rFonts w:ascii="Arial Narrow" w:eastAsia="Times New Roman" w:hAnsi="Arial Narrow" w:cs="Arial"/>
          <w:sz w:val="24"/>
          <w:szCs w:val="24"/>
          <w:lang w:eastAsia="en-GB"/>
        </w:rPr>
        <w:t> provide a statement of election spending no more than 35 days after the result is declared.</w:t>
      </w:r>
    </w:p>
    <w:p w:rsidR="00457117" w:rsidRPr="00113A61" w:rsidRDefault="00457117" w:rsidP="00457117">
      <w:pPr>
        <w:shd w:val="clear" w:color="auto" w:fill="F2F2F2"/>
        <w:spacing w:after="0" w:line="240" w:lineRule="auto"/>
        <w:rPr>
          <w:rFonts w:ascii="Arial Narrow" w:eastAsia="Times New Roman" w:hAnsi="Arial Narrow" w:cs="Arial"/>
          <w:sz w:val="20"/>
          <w:szCs w:val="20"/>
          <w:lang w:eastAsia="en-GB"/>
        </w:rPr>
      </w:pPr>
    </w:p>
    <w:p w:rsidR="00113A61" w:rsidRPr="00113A61" w:rsidRDefault="00113A61" w:rsidP="00457117">
      <w:pPr>
        <w:shd w:val="clear" w:color="auto" w:fill="F2F2F2"/>
        <w:spacing w:after="0" w:line="240" w:lineRule="auto"/>
        <w:rPr>
          <w:rFonts w:ascii="Arial Narrow" w:eastAsia="Times New Roman" w:hAnsi="Arial Narrow" w:cs="Arial"/>
          <w:sz w:val="20"/>
          <w:szCs w:val="20"/>
          <w:lang w:eastAsia="en-GB"/>
        </w:rPr>
      </w:pPr>
    </w:p>
    <w:p w:rsidR="00457117" w:rsidRPr="00BF3F70" w:rsidRDefault="00457117" w:rsidP="00457117">
      <w:pPr>
        <w:shd w:val="clear" w:color="auto" w:fill="F2F2F2"/>
        <w:spacing w:after="0" w:line="240" w:lineRule="auto"/>
        <w:rPr>
          <w:rFonts w:ascii="Arial Narrow" w:eastAsia="Times New Roman" w:hAnsi="Arial Narrow" w:cs="Arial"/>
          <w:b/>
          <w:sz w:val="24"/>
          <w:szCs w:val="24"/>
          <w:lang w:eastAsia="en-GB"/>
        </w:rPr>
      </w:pPr>
      <w:r w:rsidRPr="00BF3F70">
        <w:rPr>
          <w:rFonts w:ascii="Arial Narrow" w:eastAsia="Times New Roman" w:hAnsi="Arial Narrow" w:cs="Arial"/>
          <w:b/>
          <w:sz w:val="24"/>
          <w:szCs w:val="24"/>
          <w:lang w:eastAsia="en-GB"/>
        </w:rPr>
        <w:t xml:space="preserve">An example of when it can go wrong: </w:t>
      </w:r>
      <w:r w:rsidR="00BF3F70" w:rsidRPr="00BF3F70">
        <w:rPr>
          <w:rFonts w:ascii="Arial Narrow" w:eastAsia="Times New Roman" w:hAnsi="Arial Narrow" w:cs="Arial"/>
          <w:b/>
          <w:sz w:val="24"/>
          <w:szCs w:val="24"/>
          <w:lang w:eastAsia="en-GB"/>
        </w:rPr>
        <w:t xml:space="preserve">South Thanet &amp; </w:t>
      </w:r>
      <w:proofErr w:type="spellStart"/>
      <w:r w:rsidR="00BF3F70" w:rsidRPr="00BF3F70">
        <w:rPr>
          <w:rFonts w:ascii="Arial Narrow" w:eastAsia="Times New Roman" w:hAnsi="Arial Narrow" w:cs="Arial"/>
          <w:b/>
          <w:sz w:val="24"/>
          <w:szCs w:val="24"/>
          <w:lang w:eastAsia="en-GB"/>
        </w:rPr>
        <w:t>Craog</w:t>
      </w:r>
      <w:proofErr w:type="spellEnd"/>
      <w:r w:rsidR="00BF3F70" w:rsidRPr="00BF3F70">
        <w:rPr>
          <w:rFonts w:ascii="Arial Narrow" w:eastAsia="Times New Roman" w:hAnsi="Arial Narrow" w:cs="Arial"/>
          <w:b/>
          <w:sz w:val="24"/>
          <w:szCs w:val="24"/>
          <w:lang w:eastAsia="en-GB"/>
        </w:rPr>
        <w:t xml:space="preserve"> </w:t>
      </w:r>
      <w:proofErr w:type="spellStart"/>
      <w:r w:rsidR="00BF3F70" w:rsidRPr="00BF3F70">
        <w:rPr>
          <w:rFonts w:ascii="Arial Narrow" w:eastAsia="Times New Roman" w:hAnsi="Arial Narrow" w:cs="Arial"/>
          <w:b/>
          <w:sz w:val="24"/>
          <w:szCs w:val="24"/>
          <w:lang w:eastAsia="en-GB"/>
        </w:rPr>
        <w:t>McKindley’s</w:t>
      </w:r>
      <w:proofErr w:type="spellEnd"/>
      <w:r w:rsidR="00BF3F70" w:rsidRPr="00BF3F70">
        <w:rPr>
          <w:rFonts w:ascii="Arial Narrow" w:eastAsia="Times New Roman" w:hAnsi="Arial Narrow" w:cs="Arial"/>
          <w:b/>
          <w:sz w:val="24"/>
          <w:szCs w:val="24"/>
          <w:lang w:eastAsia="en-GB"/>
        </w:rPr>
        <w:t xml:space="preserve"> victory over </w:t>
      </w:r>
      <w:r w:rsidRPr="00BF3F70">
        <w:rPr>
          <w:rFonts w:ascii="Arial Narrow" w:eastAsia="Times New Roman" w:hAnsi="Arial Narrow" w:cs="Arial"/>
          <w:b/>
          <w:sz w:val="24"/>
          <w:szCs w:val="24"/>
          <w:lang w:eastAsia="en-GB"/>
        </w:rPr>
        <w:t xml:space="preserve">Nigel </w:t>
      </w:r>
      <w:proofErr w:type="spellStart"/>
      <w:r w:rsidRPr="00BF3F70">
        <w:rPr>
          <w:rFonts w:ascii="Arial Narrow" w:eastAsia="Times New Roman" w:hAnsi="Arial Narrow" w:cs="Arial"/>
          <w:b/>
          <w:sz w:val="24"/>
          <w:szCs w:val="24"/>
          <w:lang w:eastAsia="en-GB"/>
        </w:rPr>
        <w:t>Farrage</w:t>
      </w:r>
      <w:proofErr w:type="spellEnd"/>
    </w:p>
    <w:p w:rsidR="00BF3F70" w:rsidRPr="00457117" w:rsidRDefault="00BF3F70" w:rsidP="00457117">
      <w:pPr>
        <w:shd w:val="clear" w:color="auto" w:fill="F2F2F2"/>
        <w:spacing w:after="0" w:line="240" w:lineRule="auto"/>
        <w:rPr>
          <w:rFonts w:ascii="Arial Narrow" w:eastAsia="Times New Roman" w:hAnsi="Arial Narrow" w:cs="Arial"/>
          <w:b/>
          <w:sz w:val="10"/>
          <w:szCs w:val="10"/>
          <w:lang w:eastAsia="en-GB"/>
        </w:rPr>
      </w:pP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The Electoral Commission announced on </w:t>
      </w:r>
      <w:hyperlink r:id="rId32" w:history="1">
        <w:r w:rsidRPr="00457117">
          <w:rPr>
            <w:rFonts w:ascii="Arial Narrow" w:eastAsia="Times New Roman" w:hAnsi="Arial Narrow" w:cs="Arial"/>
            <w:sz w:val="24"/>
            <w:szCs w:val="24"/>
            <w:lang w:eastAsia="en-GB"/>
          </w:rPr>
          <w:t>18 February 2016</w:t>
        </w:r>
      </w:hyperlink>
      <w:r w:rsidRPr="00457117">
        <w:rPr>
          <w:rFonts w:ascii="Arial Narrow" w:eastAsia="Times New Roman" w:hAnsi="Arial Narrow" w:cs="Arial"/>
          <w:sz w:val="24"/>
          <w:szCs w:val="24"/>
          <w:lang w:eastAsia="en-GB"/>
        </w:rPr>
        <w:t>  that it was investigating whether the Conservative Party had met its reporting obligations in respect of the general election in 2015. Its investigation was focused on whether spending on hotels in South Thanet during the general election should or should not have been included in the party’s national return, an issue </w:t>
      </w:r>
      <w:hyperlink r:id="rId33" w:history="1">
        <w:r w:rsidRPr="00457117">
          <w:rPr>
            <w:rFonts w:ascii="Arial Narrow" w:eastAsia="Times New Roman" w:hAnsi="Arial Narrow" w:cs="Arial"/>
            <w:sz w:val="24"/>
            <w:szCs w:val="24"/>
            <w:lang w:eastAsia="en-GB"/>
          </w:rPr>
          <w:t>raised by Channel 4 News</w:t>
        </w:r>
      </w:hyperlink>
      <w:r w:rsidRPr="00457117">
        <w:rPr>
          <w:rFonts w:ascii="Arial Narrow" w:eastAsia="Times New Roman" w:hAnsi="Arial Narrow" w:cs="Arial"/>
          <w:sz w:val="24"/>
          <w:szCs w:val="24"/>
          <w:lang w:eastAsia="en-GB"/>
        </w:rPr>
        <w:t> in January 2016.</w:t>
      </w:r>
    </w:p>
    <w:p w:rsidR="00BF3F70" w:rsidRPr="00457117" w:rsidRDefault="00BF3F70" w:rsidP="00457117">
      <w:pPr>
        <w:shd w:val="clear" w:color="auto" w:fill="F2F2F2"/>
        <w:spacing w:after="0" w:line="240" w:lineRule="auto"/>
        <w:rPr>
          <w:rFonts w:ascii="Arial Narrow" w:eastAsia="Times New Roman" w:hAnsi="Arial Narrow" w:cs="Arial"/>
          <w:sz w:val="10"/>
          <w:szCs w:val="10"/>
          <w:lang w:eastAsia="en-GB"/>
        </w:rPr>
      </w:pPr>
    </w:p>
    <w:p w:rsidR="00457117" w:rsidRPr="00BF3F70" w:rsidRDefault="00457117" w:rsidP="00457117">
      <w:pPr>
        <w:shd w:val="clear" w:color="auto" w:fill="F2F2F2"/>
        <w:spacing w:after="0" w:line="240" w:lineRule="auto"/>
        <w:rPr>
          <w:rFonts w:ascii="Arial Narrow" w:eastAsia="Times New Roman" w:hAnsi="Arial Narrow" w:cs="Arial"/>
          <w:i/>
          <w:sz w:val="24"/>
          <w:szCs w:val="24"/>
          <w:lang w:eastAsia="en-GB"/>
        </w:rPr>
      </w:pPr>
      <w:r w:rsidRPr="00457117">
        <w:rPr>
          <w:rFonts w:ascii="Arial Narrow" w:eastAsia="Times New Roman" w:hAnsi="Arial Narrow" w:cs="Arial"/>
          <w:sz w:val="24"/>
          <w:szCs w:val="24"/>
          <w:lang w:eastAsia="en-GB"/>
        </w:rPr>
        <w:t>On </w:t>
      </w:r>
      <w:hyperlink r:id="rId34" w:history="1">
        <w:r w:rsidRPr="00457117">
          <w:rPr>
            <w:rFonts w:ascii="Arial Narrow" w:eastAsia="Times New Roman" w:hAnsi="Arial Narrow" w:cs="Arial"/>
            <w:sz w:val="24"/>
            <w:szCs w:val="24"/>
            <w:lang w:eastAsia="en-GB"/>
          </w:rPr>
          <w:t>1 March 2016</w:t>
        </w:r>
      </w:hyperlink>
      <w:r w:rsidRPr="00457117">
        <w:rPr>
          <w:rFonts w:ascii="Arial Narrow" w:eastAsia="Times New Roman" w:hAnsi="Arial Narrow" w:cs="Arial"/>
          <w:sz w:val="24"/>
          <w:szCs w:val="24"/>
          <w:lang w:eastAsia="en-GB"/>
        </w:rPr>
        <w:t xml:space="preserve">, the </w:t>
      </w:r>
      <w:r w:rsidR="00BF3F70" w:rsidRPr="00BF3F70">
        <w:rPr>
          <w:rFonts w:ascii="Arial Narrow" w:eastAsia="Times New Roman" w:hAnsi="Arial Narrow" w:cs="Arial"/>
          <w:sz w:val="24"/>
          <w:szCs w:val="24"/>
          <w:lang w:eastAsia="en-GB"/>
        </w:rPr>
        <w:t>Electoral C</w:t>
      </w:r>
      <w:r w:rsidRPr="00457117">
        <w:rPr>
          <w:rFonts w:ascii="Arial Narrow" w:eastAsia="Times New Roman" w:hAnsi="Arial Narrow" w:cs="Arial"/>
          <w:sz w:val="24"/>
          <w:szCs w:val="24"/>
          <w:lang w:eastAsia="en-GB"/>
        </w:rPr>
        <w:t xml:space="preserve">ommission announced that it was extending the scope of its investigations to cover spending at parliamentary by-elections in three constituencies: Newark, Clacton, and Rochester and </w:t>
      </w:r>
      <w:proofErr w:type="spellStart"/>
      <w:r w:rsidRPr="00457117">
        <w:rPr>
          <w:rFonts w:ascii="Arial Narrow" w:eastAsia="Times New Roman" w:hAnsi="Arial Narrow" w:cs="Arial"/>
          <w:sz w:val="24"/>
          <w:szCs w:val="24"/>
          <w:lang w:eastAsia="en-GB"/>
        </w:rPr>
        <w:t>Strood</w:t>
      </w:r>
      <w:proofErr w:type="spellEnd"/>
      <w:r w:rsidRPr="00457117">
        <w:rPr>
          <w:rFonts w:ascii="Arial Narrow" w:eastAsia="Times New Roman" w:hAnsi="Arial Narrow" w:cs="Arial"/>
          <w:sz w:val="24"/>
          <w:szCs w:val="24"/>
          <w:lang w:eastAsia="en-GB"/>
        </w:rPr>
        <w:t>. Again, this followed allegations reported by Channel 4.</w:t>
      </w:r>
      <w:r w:rsidR="00BF3F70" w:rsidRPr="00BF3F70">
        <w:rPr>
          <w:rFonts w:ascii="Arial Narrow" w:eastAsia="Times New Roman" w:hAnsi="Arial Narrow" w:cs="Arial"/>
          <w:sz w:val="24"/>
          <w:szCs w:val="24"/>
          <w:lang w:eastAsia="en-GB"/>
        </w:rPr>
        <w:t xml:space="preserve"> </w:t>
      </w:r>
      <w:r w:rsidRPr="00457117">
        <w:rPr>
          <w:rFonts w:ascii="Arial Narrow" w:eastAsia="Times New Roman" w:hAnsi="Arial Narrow" w:cs="Arial"/>
          <w:sz w:val="24"/>
          <w:szCs w:val="24"/>
          <w:lang w:eastAsia="en-GB"/>
        </w:rPr>
        <w:t xml:space="preserve">The party was accused of not declaring hotel bills for campaign staff working for its candidates. Including those bills would have taken total spending above £100,000 in each case. It was alleged that failure to include these bills is an illegal practice under the </w:t>
      </w:r>
      <w:r w:rsidRPr="00457117">
        <w:rPr>
          <w:rFonts w:ascii="Arial Narrow" w:eastAsia="Times New Roman" w:hAnsi="Arial Narrow" w:cs="Arial"/>
          <w:i/>
          <w:sz w:val="24"/>
          <w:szCs w:val="24"/>
          <w:lang w:eastAsia="en-GB"/>
        </w:rPr>
        <w:t>Representation of the People Act 1983.</w:t>
      </w:r>
    </w:p>
    <w:p w:rsidR="00457117" w:rsidRPr="00457117" w:rsidRDefault="00457117" w:rsidP="00457117">
      <w:pPr>
        <w:shd w:val="clear" w:color="auto" w:fill="F2F2F2"/>
        <w:spacing w:after="0" w:line="240" w:lineRule="auto"/>
        <w:rPr>
          <w:rFonts w:ascii="Arial Narrow" w:eastAsia="Times New Roman" w:hAnsi="Arial Narrow" w:cs="Arial"/>
          <w:sz w:val="10"/>
          <w:szCs w:val="10"/>
          <w:lang w:eastAsia="en-GB"/>
        </w:rPr>
      </w:pPr>
      <w:r w:rsidRPr="00457117">
        <w:rPr>
          <w:rFonts w:ascii="Arial Narrow" w:eastAsia="Times New Roman" w:hAnsi="Arial Narrow" w:cs="Arial"/>
          <w:sz w:val="24"/>
          <w:szCs w:val="24"/>
          <w:lang w:eastAsia="en-GB"/>
        </w:rPr>
        <w:t>.</w:t>
      </w: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The Conservatives said this was national expenditure and was included in its return to the Electoral Commission. However, the party </w:t>
      </w:r>
      <w:hyperlink r:id="rId35" w:history="1">
        <w:r w:rsidRPr="00457117">
          <w:rPr>
            <w:rFonts w:ascii="Arial Narrow" w:eastAsia="Times New Roman" w:hAnsi="Arial Narrow" w:cs="Arial"/>
            <w:sz w:val="24"/>
            <w:szCs w:val="24"/>
            <w:lang w:eastAsia="en-GB"/>
          </w:rPr>
          <w:t>said</w:t>
        </w:r>
      </w:hyperlink>
      <w:r w:rsidRPr="00457117">
        <w:rPr>
          <w:rFonts w:ascii="Arial Narrow" w:eastAsia="Times New Roman" w:hAnsi="Arial Narrow" w:cs="Arial"/>
          <w:sz w:val="24"/>
          <w:szCs w:val="24"/>
          <w:lang w:eastAsia="en-GB"/>
        </w:rPr>
        <w:t> that, as the result of an administrative error, it had “omitted to declare the accommodation co</w:t>
      </w:r>
      <w:r w:rsidR="00BF3F70" w:rsidRPr="00BF3F70">
        <w:rPr>
          <w:rFonts w:ascii="Arial Narrow" w:eastAsia="Times New Roman" w:hAnsi="Arial Narrow" w:cs="Arial"/>
          <w:sz w:val="24"/>
          <w:szCs w:val="24"/>
          <w:lang w:eastAsia="en-GB"/>
        </w:rPr>
        <w:t>sts”</w:t>
      </w:r>
      <w:r w:rsidRPr="00457117">
        <w:rPr>
          <w:rFonts w:ascii="Arial Narrow" w:eastAsia="Times New Roman" w:hAnsi="Arial Narrow" w:cs="Arial"/>
          <w:sz w:val="24"/>
          <w:szCs w:val="24"/>
          <w:lang w:eastAsia="en-GB"/>
        </w:rPr>
        <w:t>. It promised to correct this.</w:t>
      </w:r>
    </w:p>
    <w:p w:rsidR="00457117" w:rsidRPr="00113A61" w:rsidRDefault="00457117" w:rsidP="00457117">
      <w:pPr>
        <w:shd w:val="clear" w:color="auto" w:fill="F2F2F2"/>
        <w:spacing w:after="0" w:line="240" w:lineRule="auto"/>
        <w:rPr>
          <w:rFonts w:ascii="Arial Narrow" w:eastAsia="Times New Roman" w:hAnsi="Arial Narrow" w:cs="Arial"/>
          <w:sz w:val="20"/>
          <w:szCs w:val="20"/>
          <w:lang w:eastAsia="en-GB"/>
        </w:rPr>
      </w:pPr>
    </w:p>
    <w:p w:rsidR="00113A61" w:rsidRPr="00113A61" w:rsidRDefault="00113A61" w:rsidP="00457117">
      <w:pPr>
        <w:shd w:val="clear" w:color="auto" w:fill="F2F2F2"/>
        <w:spacing w:after="0" w:line="240" w:lineRule="auto"/>
        <w:rPr>
          <w:rFonts w:ascii="Arial Narrow" w:eastAsia="Times New Roman" w:hAnsi="Arial Narrow" w:cs="Arial"/>
          <w:sz w:val="20"/>
          <w:szCs w:val="20"/>
          <w:lang w:eastAsia="en-GB"/>
        </w:rPr>
      </w:pPr>
    </w:p>
    <w:p w:rsidR="00457117" w:rsidRPr="00BF3F70" w:rsidRDefault="00457117" w:rsidP="00457117">
      <w:pPr>
        <w:shd w:val="clear" w:color="auto" w:fill="F2F2F2"/>
        <w:spacing w:after="0" w:line="240" w:lineRule="auto"/>
        <w:rPr>
          <w:rFonts w:ascii="Arial Narrow" w:eastAsia="Times New Roman" w:hAnsi="Arial Narrow" w:cs="Arial"/>
          <w:b/>
          <w:sz w:val="24"/>
          <w:szCs w:val="24"/>
          <w:lang w:eastAsia="en-GB"/>
        </w:rPr>
      </w:pPr>
      <w:r w:rsidRPr="00457117">
        <w:rPr>
          <w:rFonts w:ascii="Arial Narrow" w:eastAsia="Times New Roman" w:hAnsi="Arial Narrow" w:cs="Arial"/>
          <w:b/>
          <w:sz w:val="24"/>
          <w:szCs w:val="24"/>
          <w:lang w:eastAsia="en-GB"/>
        </w:rPr>
        <w:t>What were the consequences?</w:t>
      </w:r>
    </w:p>
    <w:p w:rsidR="00BF3F70" w:rsidRPr="00457117" w:rsidRDefault="00BF3F70" w:rsidP="00457117">
      <w:pPr>
        <w:shd w:val="clear" w:color="auto" w:fill="F2F2F2"/>
        <w:spacing w:after="0" w:line="240" w:lineRule="auto"/>
        <w:rPr>
          <w:rFonts w:ascii="Arial Narrow" w:eastAsia="Times New Roman" w:hAnsi="Arial Narrow" w:cs="Arial"/>
          <w:b/>
          <w:sz w:val="10"/>
          <w:szCs w:val="10"/>
          <w:lang w:eastAsia="en-GB"/>
        </w:rPr>
      </w:pPr>
    </w:p>
    <w:p w:rsidR="00457117" w:rsidRPr="00BF3F70"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In March 2017, the Electoral Commission </w:t>
      </w:r>
      <w:hyperlink r:id="rId36" w:anchor="page=4" w:history="1">
        <w:r w:rsidRPr="00457117">
          <w:rPr>
            <w:rFonts w:ascii="Arial Narrow" w:eastAsia="Times New Roman" w:hAnsi="Arial Narrow" w:cs="Arial"/>
            <w:sz w:val="24"/>
            <w:szCs w:val="24"/>
            <w:lang w:eastAsia="en-GB"/>
          </w:rPr>
          <w:t>concluded</w:t>
        </w:r>
      </w:hyperlink>
      <w:r w:rsidRPr="00457117">
        <w:rPr>
          <w:rFonts w:ascii="Arial Narrow" w:eastAsia="Times New Roman" w:hAnsi="Arial Narrow" w:cs="Arial"/>
          <w:sz w:val="24"/>
          <w:szCs w:val="24"/>
          <w:lang w:eastAsia="en-GB"/>
        </w:rPr>
        <w:t xml:space="preserve"> that the Conservatives had failed to keep </w:t>
      </w:r>
      <w:r w:rsidR="00BF3F70" w:rsidRPr="00BF3F70">
        <w:rPr>
          <w:rFonts w:ascii="Arial Narrow" w:eastAsia="Times New Roman" w:hAnsi="Arial Narrow" w:cs="Arial"/>
          <w:sz w:val="24"/>
          <w:szCs w:val="24"/>
          <w:lang w:eastAsia="en-GB"/>
        </w:rPr>
        <w:t xml:space="preserve">adequate </w:t>
      </w:r>
      <w:r w:rsidRPr="00457117">
        <w:rPr>
          <w:rFonts w:ascii="Arial Narrow" w:eastAsia="Times New Roman" w:hAnsi="Arial Narrow" w:cs="Arial"/>
          <w:sz w:val="24"/>
          <w:szCs w:val="24"/>
          <w:lang w:eastAsia="en-GB"/>
        </w:rPr>
        <w:t xml:space="preserve">accounting records </w:t>
      </w:r>
      <w:r w:rsidR="00BF3F70" w:rsidRPr="00BF3F70">
        <w:rPr>
          <w:rFonts w:ascii="Arial Narrow" w:eastAsia="Times New Roman" w:hAnsi="Arial Narrow" w:cs="Arial"/>
          <w:sz w:val="24"/>
          <w:szCs w:val="24"/>
          <w:lang w:eastAsia="en-GB"/>
        </w:rPr>
        <w:t xml:space="preserve">and it </w:t>
      </w:r>
      <w:r w:rsidRPr="00457117">
        <w:rPr>
          <w:rFonts w:ascii="Arial Narrow" w:eastAsia="Times New Roman" w:hAnsi="Arial Narrow" w:cs="Arial"/>
          <w:sz w:val="24"/>
          <w:szCs w:val="24"/>
          <w:lang w:eastAsia="en-GB"/>
        </w:rPr>
        <w:t>fined the party £70,000 and reported the party treasurer to the police over evidence of a false declaration.</w:t>
      </w:r>
    </w:p>
    <w:p w:rsidR="00BF3F70" w:rsidRPr="00457117" w:rsidRDefault="00BF3F70" w:rsidP="00457117">
      <w:pPr>
        <w:shd w:val="clear" w:color="auto" w:fill="F2F2F2"/>
        <w:spacing w:after="0" w:line="240" w:lineRule="auto"/>
        <w:rPr>
          <w:rFonts w:ascii="Arial Narrow" w:eastAsia="Times New Roman" w:hAnsi="Arial Narrow" w:cs="Arial"/>
          <w:sz w:val="10"/>
          <w:szCs w:val="10"/>
          <w:lang w:eastAsia="en-GB"/>
        </w:rPr>
      </w:pPr>
    </w:p>
    <w:p w:rsidR="00457117" w:rsidRP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 xml:space="preserve">The commission has no power to investigate illegal practices relating to individual candidates. </w:t>
      </w:r>
    </w:p>
    <w:p w:rsidR="00BF3F70" w:rsidRPr="00113A61" w:rsidRDefault="00BF3F70" w:rsidP="00457117">
      <w:pPr>
        <w:shd w:val="clear" w:color="auto" w:fill="F2F2F2"/>
        <w:spacing w:after="0" w:line="240" w:lineRule="auto"/>
        <w:rPr>
          <w:rFonts w:ascii="Arial Narrow" w:eastAsia="Times New Roman" w:hAnsi="Arial Narrow" w:cs="Arial"/>
          <w:sz w:val="10"/>
          <w:szCs w:val="10"/>
          <w:lang w:eastAsia="en-GB"/>
        </w:rPr>
      </w:pPr>
    </w:p>
    <w:p w:rsidR="00457117" w:rsidRDefault="00457117" w:rsidP="00457117">
      <w:pPr>
        <w:shd w:val="clear" w:color="auto" w:fill="F2F2F2"/>
        <w:spacing w:after="0" w:line="240" w:lineRule="auto"/>
        <w:rPr>
          <w:rFonts w:ascii="Arial Narrow" w:eastAsia="Times New Roman" w:hAnsi="Arial Narrow" w:cs="Arial"/>
          <w:sz w:val="24"/>
          <w:szCs w:val="24"/>
          <w:lang w:eastAsia="en-GB"/>
        </w:rPr>
      </w:pPr>
      <w:r w:rsidRPr="00457117">
        <w:rPr>
          <w:rFonts w:ascii="Arial Narrow" w:eastAsia="Times New Roman" w:hAnsi="Arial Narrow" w:cs="Arial"/>
          <w:sz w:val="24"/>
          <w:szCs w:val="24"/>
          <w:lang w:eastAsia="en-GB"/>
        </w:rPr>
        <w:t>On 10 May 2017, the C</w:t>
      </w:r>
      <w:r w:rsidR="00BF3F70" w:rsidRPr="00BF3F70">
        <w:rPr>
          <w:rFonts w:ascii="Arial Narrow" w:eastAsia="Times New Roman" w:hAnsi="Arial Narrow" w:cs="Arial"/>
          <w:sz w:val="24"/>
          <w:szCs w:val="24"/>
          <w:lang w:eastAsia="en-GB"/>
        </w:rPr>
        <w:t xml:space="preserve">rown Prosecution </w:t>
      </w:r>
      <w:r w:rsidRPr="00457117">
        <w:rPr>
          <w:rFonts w:ascii="Arial Narrow" w:eastAsia="Times New Roman" w:hAnsi="Arial Narrow" w:cs="Arial"/>
          <w:sz w:val="24"/>
          <w:szCs w:val="24"/>
          <w:lang w:eastAsia="en-GB"/>
        </w:rPr>
        <w:t>S</w:t>
      </w:r>
      <w:r w:rsidR="00BF3F70" w:rsidRPr="00BF3F70">
        <w:rPr>
          <w:rFonts w:ascii="Arial Narrow" w:eastAsia="Times New Roman" w:hAnsi="Arial Narrow" w:cs="Arial"/>
          <w:sz w:val="24"/>
          <w:szCs w:val="24"/>
          <w:lang w:eastAsia="en-GB"/>
        </w:rPr>
        <w:t>ervice</w:t>
      </w:r>
      <w:r w:rsidRPr="00457117">
        <w:rPr>
          <w:rFonts w:ascii="Arial Narrow" w:eastAsia="Times New Roman" w:hAnsi="Arial Narrow" w:cs="Arial"/>
          <w:sz w:val="24"/>
          <w:szCs w:val="24"/>
          <w:lang w:eastAsia="en-GB"/>
        </w:rPr>
        <w:t> </w:t>
      </w:r>
      <w:hyperlink r:id="rId37" w:history="1">
        <w:r w:rsidRPr="00457117">
          <w:rPr>
            <w:rFonts w:ascii="Arial Narrow" w:eastAsia="Times New Roman" w:hAnsi="Arial Narrow" w:cs="Arial"/>
            <w:sz w:val="24"/>
            <w:szCs w:val="24"/>
            <w:lang w:eastAsia="en-GB"/>
          </w:rPr>
          <w:t>announced</w:t>
        </w:r>
      </w:hyperlink>
      <w:r w:rsidRPr="00457117">
        <w:rPr>
          <w:rFonts w:ascii="Arial Narrow" w:eastAsia="Times New Roman" w:hAnsi="Arial Narrow" w:cs="Arial"/>
          <w:sz w:val="24"/>
          <w:szCs w:val="24"/>
          <w:lang w:eastAsia="en-GB"/>
        </w:rPr>
        <w:t> that there would be no criminal cha</w:t>
      </w:r>
      <w:r w:rsidR="00BF3F70" w:rsidRPr="00BF3F70">
        <w:rPr>
          <w:rFonts w:ascii="Arial Narrow" w:eastAsia="Times New Roman" w:hAnsi="Arial Narrow" w:cs="Arial"/>
          <w:sz w:val="24"/>
          <w:szCs w:val="24"/>
          <w:lang w:eastAsia="en-GB"/>
        </w:rPr>
        <w:t xml:space="preserve">rges, </w:t>
      </w:r>
      <w:r w:rsidRPr="00457117">
        <w:rPr>
          <w:rFonts w:ascii="Arial Narrow" w:eastAsia="Times New Roman" w:hAnsi="Arial Narrow" w:cs="Arial"/>
          <w:sz w:val="24"/>
          <w:szCs w:val="24"/>
          <w:lang w:eastAsia="en-GB"/>
        </w:rPr>
        <w:t>saying that “although there is evidence to suggest the returns may have been inaccurate, there is insufficient evidence to prove to the criminal standard that any candidate or agent was dishonest”.</w:t>
      </w:r>
    </w:p>
    <w:p w:rsidR="00113A61" w:rsidRPr="00113A61" w:rsidRDefault="00113A61" w:rsidP="00457117">
      <w:pPr>
        <w:shd w:val="clear" w:color="auto" w:fill="F2F2F2"/>
        <w:spacing w:after="0" w:line="240" w:lineRule="auto"/>
        <w:rPr>
          <w:rFonts w:ascii="Arial Narrow" w:eastAsia="Times New Roman" w:hAnsi="Arial Narrow" w:cs="Arial"/>
          <w:sz w:val="10"/>
          <w:szCs w:val="10"/>
          <w:lang w:eastAsia="en-GB"/>
        </w:rPr>
      </w:pPr>
    </w:p>
    <w:p w:rsidR="00BF3F70" w:rsidRPr="00457117" w:rsidRDefault="00BF3F70" w:rsidP="00BF3F70">
      <w:pPr>
        <w:shd w:val="clear" w:color="auto" w:fill="F2F2F2"/>
        <w:spacing w:after="0" w:line="240" w:lineRule="auto"/>
        <w:jc w:val="center"/>
        <w:rPr>
          <w:rFonts w:ascii="Arial Narrow" w:eastAsia="Times New Roman" w:hAnsi="Arial Narrow" w:cs="Arial"/>
          <w:lang w:eastAsia="en-GB"/>
        </w:rPr>
      </w:pPr>
      <w:r>
        <w:rPr>
          <w:noProof/>
          <w:lang w:eastAsia="en-GB"/>
        </w:rPr>
        <w:drawing>
          <wp:inline distT="0" distB="0" distL="0" distR="0">
            <wp:extent cx="1612901" cy="1209675"/>
            <wp:effectExtent l="0" t="0" r="6350" b="0"/>
            <wp:docPr id="1" name="Picture 1" descr="Image result for farage looking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rage looking sa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6825" cy="1212618"/>
                    </a:xfrm>
                    <a:prstGeom prst="rect">
                      <a:avLst/>
                    </a:prstGeom>
                    <a:noFill/>
                    <a:ln>
                      <a:noFill/>
                    </a:ln>
                  </pic:spPr>
                </pic:pic>
              </a:graphicData>
            </a:graphic>
          </wp:inline>
        </w:drawing>
      </w:r>
      <w:bookmarkStart w:id="0" w:name="_GoBack"/>
      <w:bookmarkEnd w:id="0"/>
    </w:p>
    <w:sectPr w:rsidR="00BF3F70" w:rsidRPr="00457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500C6"/>
    <w:multiLevelType w:val="multilevel"/>
    <w:tmpl w:val="D766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A6193"/>
    <w:multiLevelType w:val="multilevel"/>
    <w:tmpl w:val="0FA8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17"/>
    <w:rsid w:val="00113A61"/>
    <w:rsid w:val="00457117"/>
    <w:rsid w:val="00617A8E"/>
    <w:rsid w:val="00B46B8F"/>
    <w:rsid w:val="00BF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588273">
      <w:bodyDiv w:val="1"/>
      <w:marLeft w:val="0"/>
      <w:marRight w:val="0"/>
      <w:marTop w:val="0"/>
      <w:marBottom w:val="0"/>
      <w:divBdr>
        <w:top w:val="none" w:sz="0" w:space="0" w:color="auto"/>
        <w:left w:val="none" w:sz="0" w:space="0" w:color="auto"/>
        <w:bottom w:val="none" w:sz="0" w:space="0" w:color="auto"/>
        <w:right w:val="none" w:sz="0" w:space="0" w:color="auto"/>
      </w:divBdr>
      <w:divsChild>
        <w:div w:id="1931236764">
          <w:marLeft w:val="0"/>
          <w:marRight w:val="0"/>
          <w:marTop w:val="0"/>
          <w:marBottom w:val="0"/>
          <w:divBdr>
            <w:top w:val="none" w:sz="0" w:space="0" w:color="auto"/>
            <w:left w:val="none" w:sz="0" w:space="0" w:color="auto"/>
            <w:bottom w:val="none" w:sz="0" w:space="0" w:color="auto"/>
            <w:right w:val="none" w:sz="0" w:space="0" w:color="auto"/>
          </w:divBdr>
        </w:div>
        <w:div w:id="33120469">
          <w:marLeft w:val="0"/>
          <w:marRight w:val="0"/>
          <w:marTop w:val="0"/>
          <w:marBottom w:val="0"/>
          <w:divBdr>
            <w:top w:val="none" w:sz="0" w:space="0" w:color="auto"/>
            <w:left w:val="none" w:sz="0" w:space="0" w:color="auto"/>
            <w:bottom w:val="none" w:sz="0" w:space="0" w:color="auto"/>
            <w:right w:val="none" w:sz="0" w:space="0" w:color="auto"/>
          </w:divBdr>
          <w:divsChild>
            <w:div w:id="1551379102">
              <w:marLeft w:val="-225"/>
              <w:marRight w:val="-225"/>
              <w:marTop w:val="0"/>
              <w:marBottom w:val="0"/>
              <w:divBdr>
                <w:top w:val="none" w:sz="0" w:space="0" w:color="auto"/>
                <w:left w:val="none" w:sz="0" w:space="0" w:color="auto"/>
                <w:bottom w:val="none" w:sz="0" w:space="0" w:color="auto"/>
                <w:right w:val="none" w:sz="0" w:space="0" w:color="auto"/>
              </w:divBdr>
              <w:divsChild>
                <w:div w:id="1868790578">
                  <w:marLeft w:val="0"/>
                  <w:marRight w:val="0"/>
                  <w:marTop w:val="0"/>
                  <w:marBottom w:val="0"/>
                  <w:divBdr>
                    <w:top w:val="none" w:sz="0" w:space="0" w:color="auto"/>
                    <w:left w:val="none" w:sz="0" w:space="0" w:color="auto"/>
                    <w:bottom w:val="none" w:sz="0" w:space="0" w:color="auto"/>
                    <w:right w:val="none" w:sz="0" w:space="0" w:color="auto"/>
                  </w:divBdr>
                  <w:divsChild>
                    <w:div w:id="1324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0/41/section/83" TargetMode="External"/><Relationship Id="rId13" Type="http://schemas.openxmlformats.org/officeDocument/2006/relationships/hyperlink" Target="http://www.legislation.gov.uk/ukpga/2000/41/section/75" TargetMode="External"/><Relationship Id="rId18" Type="http://schemas.openxmlformats.org/officeDocument/2006/relationships/hyperlink" Target="http://www.legislation.gov.uk/ukpga/2000/41/section/80" TargetMode="External"/><Relationship Id="rId26" Type="http://schemas.openxmlformats.org/officeDocument/2006/relationships/hyperlink" Target="http://www.legislation.gov.uk/ukpga/1983/2/schedule/4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egislation.gov.uk/ukpga/2000/41/section/41" TargetMode="External"/><Relationship Id="rId34" Type="http://schemas.openxmlformats.org/officeDocument/2006/relationships/hyperlink" Target="http://www.electoralcommission.org.uk/i-am-a/journalist/electoral-commission-media-centre/news-releases-donations/electoral-commission-extends-scope-of-investigation-into-conservative-party-campaign-spending-returns-concerning-hotel-bills-at-three-parliamentary-by-elections-in-2014" TargetMode="External"/><Relationship Id="rId7" Type="http://schemas.openxmlformats.org/officeDocument/2006/relationships/hyperlink" Target="http://www.electoralcommission.org.uk/find-information-by-subject/political-parties-campaigning-and-donations/candidate-spending-and-donations-at-elections" TargetMode="External"/><Relationship Id="rId12" Type="http://schemas.openxmlformats.org/officeDocument/2006/relationships/hyperlink" Target="http://www.cps.gov.uk/news/latest_news/cps-statement-on-election-expenses/" TargetMode="External"/><Relationship Id="rId17" Type="http://schemas.openxmlformats.org/officeDocument/2006/relationships/hyperlink" Target="http://researchbriefings.parliament.uk/ResearchBriefing/Summary/SN06255" TargetMode="External"/><Relationship Id="rId25" Type="http://schemas.openxmlformats.org/officeDocument/2006/relationships/hyperlink" Target="http://www.electoralcommission.org.uk/i-am-a/journalist/electoral-commission-media-centre/news-releases-donations/parties-spend-31-million-at-uk-general-election" TargetMode="External"/><Relationship Id="rId33" Type="http://schemas.openxmlformats.org/officeDocument/2006/relationships/hyperlink" Target="http://electionexpenses.co.uk/"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legislation.gov.uk/ukpga/1983/2/part/II/crossheading/election-expenses" TargetMode="External"/><Relationship Id="rId20" Type="http://schemas.openxmlformats.org/officeDocument/2006/relationships/hyperlink" Target="http://www.legislation.gov.uk/ukpga/2000/41/section/83" TargetMode="External"/><Relationship Id="rId29" Type="http://schemas.openxmlformats.org/officeDocument/2006/relationships/hyperlink" Target="http://www.electoralcommission.org.uk/__data/assets/pdf_file/0019/214516/UKPGE-Part-3-Spending-and-donations.pdf" TargetMode="External"/><Relationship Id="rId1" Type="http://schemas.openxmlformats.org/officeDocument/2006/relationships/numbering" Target="numbering.xml"/><Relationship Id="rId6" Type="http://schemas.openxmlformats.org/officeDocument/2006/relationships/hyperlink" Target="http://www.electoralcommission.org.uk/__data/assets/pdf_file/0013/102262/intro-party-treasurer-rp.pdf" TargetMode="External"/><Relationship Id="rId11" Type="http://schemas.openxmlformats.org/officeDocument/2006/relationships/hyperlink" Target="http://www.electoralcommission.org.uk/__data/assets/pdf_file/0005/222935/Report-in-respect-of-the-Conservative-and-Unionist-Party.pdf" TargetMode="External"/><Relationship Id="rId24" Type="http://schemas.openxmlformats.org/officeDocument/2006/relationships/hyperlink" Target="http://www.legislation.gov.uk/ukpga/2000/41/schedule/9/" TargetMode="External"/><Relationship Id="rId32" Type="http://schemas.openxmlformats.org/officeDocument/2006/relationships/hyperlink" Target="http://www.electoralcommission.org.uk/i-am-a/journalist/electoral-commission-media-centre/news-releases-donations/electoral-commission-statement-on-allegations-regarding-conservative-party-spending-return-for-2015-general-election2" TargetMode="External"/><Relationship Id="rId37" Type="http://schemas.openxmlformats.org/officeDocument/2006/relationships/hyperlink" Target="http://www.cps.gov.uk/news/latest_news/cps-statement-on-election-expens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lectoralcommission.org.uk/our-work/roles-and-responsibilities/our-role-as-regulator-of-political-party-finances/making-an-allegation/what-we-regulate" TargetMode="External"/><Relationship Id="rId23" Type="http://schemas.openxmlformats.org/officeDocument/2006/relationships/hyperlink" Target="http://www.legislation.gov.uk/ukpga/2000/41/schedule/9/paragraph/3" TargetMode="External"/><Relationship Id="rId28" Type="http://schemas.openxmlformats.org/officeDocument/2006/relationships/hyperlink" Target="http://www.legislation.gov.uk/ukpga/1983/2/section/76" TargetMode="External"/><Relationship Id="rId36" Type="http://schemas.openxmlformats.org/officeDocument/2006/relationships/hyperlink" Target="http://www.electoralcommission.org.uk/__data/assets/pdf_file/0005/222935/Report-in-respect-of-the-Conservative-and-Unionist-Party.pdf" TargetMode="External"/><Relationship Id="rId10" Type="http://schemas.openxmlformats.org/officeDocument/2006/relationships/hyperlink" Target="http://www.lawcom.gov.uk/wp-content/uploads/2016/02/electoral_law_interim_report.pdf" TargetMode="External"/><Relationship Id="rId19" Type="http://schemas.openxmlformats.org/officeDocument/2006/relationships/hyperlink" Target="http://www.legislation.gov.uk/ukpga/2000/41/section/82" TargetMode="External"/><Relationship Id="rId31" Type="http://schemas.openxmlformats.org/officeDocument/2006/relationships/hyperlink" Target="http://www.legislation.gov.uk/ukpga/1983/2/section/81" TargetMode="External"/><Relationship Id="rId4" Type="http://schemas.openxmlformats.org/officeDocument/2006/relationships/settings" Target="settings.xml"/><Relationship Id="rId9" Type="http://schemas.openxmlformats.org/officeDocument/2006/relationships/hyperlink" Target="http://www.legislation.gov.uk/ukpga/1983/2/section/173" TargetMode="External"/><Relationship Id="rId14" Type="http://schemas.openxmlformats.org/officeDocument/2006/relationships/hyperlink" Target="http://www.legislation.gov.uk/ukpga/2000/41/section/1" TargetMode="External"/><Relationship Id="rId22" Type="http://schemas.openxmlformats.org/officeDocument/2006/relationships/hyperlink" Target="http://www.legislation.gov.uk/ukpga/2000/41/schedule/8" TargetMode="External"/><Relationship Id="rId27" Type="http://schemas.openxmlformats.org/officeDocument/2006/relationships/hyperlink" Target="http://www.legislation.gov.uk/ukpga/1983/2/section/73" TargetMode="External"/><Relationship Id="rId30" Type="http://schemas.openxmlformats.org/officeDocument/2006/relationships/hyperlink" Target="http://www.legislation.gov.uk/ukpga/1983/2/section/76" TargetMode="External"/><Relationship Id="rId35" Type="http://schemas.openxmlformats.org/officeDocument/2006/relationships/hyperlink" Target="http://www.channel4.com/news/battlebus-everything-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2018-02-10T15:19:00Z</dcterms:created>
  <dcterms:modified xsi:type="dcterms:W3CDTF">2018-02-10T15:43:00Z</dcterms:modified>
</cp:coreProperties>
</file>