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66" w:rsidRPr="00967C66" w:rsidRDefault="00967C66" w:rsidP="00967C66">
      <w:pPr>
        <w:rPr>
          <w:b/>
          <w:bCs/>
          <w:sz w:val="24"/>
          <w:szCs w:val="24"/>
          <w:u w:val="single"/>
          <w:lang w:val="en"/>
        </w:rPr>
      </w:pPr>
      <w:r w:rsidRPr="00967C66">
        <w:rPr>
          <w:b/>
          <w:bCs/>
          <w:sz w:val="24"/>
          <w:szCs w:val="24"/>
          <w:u w:val="single"/>
          <w:lang w:val="en"/>
        </w:rPr>
        <w:t>Famous/landmark Supreme Court decisions</w:t>
      </w:r>
    </w:p>
    <w:p w:rsidR="00967C66" w:rsidRPr="00967C66" w:rsidRDefault="00967C66" w:rsidP="00967C66">
      <w:pPr>
        <w:rPr>
          <w:lang w:val="en"/>
        </w:rPr>
      </w:pPr>
      <w:r w:rsidRPr="00967C66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 descr="AP A26 LETTERS 06 A ELN USA Dist. of Colum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EEC34" id="Rectangle 16" o:spid="_x0000_s1026" alt="AP A26 LETTERS 06 A ELN USA Dist. of Columb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bi3gIAAO8FAAAOAAAAZHJzL2Uyb0RvYy54bWysVG1vmzAQ/j5p/8Hyd8JLCQmopEpDmCZl&#10;XdW0P8ABE6yBzWwntJv233c2SZq0X6ZtfLDsO/Pc3XOP7/rmuW3QnkrFBE+xP/IworwQJePbFD89&#10;5s4UI6UJL0kjOE3xC1X4Zvbxw3XfJTQQtWhKKhGAcJX0XYprrbvEdVVR05aokegoB2clZEs0HOXW&#10;LSXpAb1t3MDzIrcXsuykKKhSYM0GJ55Z/Kqihf5aVYpq1KQYctN2lXbdmNWdXZNkK0lXs+KQBvmL&#10;LFrCOAQ9QWVEE7ST7B1UywoplKj0qBCtK6qKFdTWANX43ptq1jXpqK0FyFHdiSb1/2CLu/29RKyE&#10;3kUYcdJCjx6ANcK3DUXGVlJVAGHzezQPIrRaPj4uH9bIi9AcLVd36Gk9RxlTeoREhRai2bUbRgyt&#10;facSQF9399IQo7qVKL4pxMWiBnA6Vx2EgbAQ9WiSUvQ1JSXU5xsI9wLDHBSgoU3/RZSQJ9lpYUl/&#10;rmRrYgCd6Nn29uXUW/qsUQHGKy+ceqCAAlyHvYlAkuPPnVT6ExUtMpsUS8jOgpP9Sunh6vGKicVF&#10;zpoG7CRp+IUBMAcLhIZfjc8kYdXwM/bi5XQ5DZ0wiJZO6GWZM88XoRPl/mScXWWLReb/MnH9MKlZ&#10;WVJuwhyV6Yd/1vnDGxk0ddKmEg0rDZxJScntZtFItCfwMnL7WcrB83rNvUzD8gW1vCnJD0LvNoid&#10;PJpOnDAPx0488aaO58e3ceSFcZjllyWtGKf/XhLqUxyPg7Ht0lnSb2rz7Pe+NpK0TMPsaVibYpAG&#10;fOYSSYwCl7y0e01YM+zPqDDpv1IB7T422urVSHRQ/0aULyBXKUBOoDyYkrCphfyBUQ8TJ8Xq+45I&#10;ilHzmYPkYz8MzYiyh3A8CeAgzz2bcw/hBUClWGM0bBd6GGu7TrJtDZF8SwwXc3gmFbMSNk9oyOrw&#10;uGCq2EoOE9CMrfOzvfU6p2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4JJuLeAgAA7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 xml:space="preserve">Marbury v. Madison, </w:t>
      </w:r>
      <w:r w:rsidRPr="00967C66">
        <w:rPr>
          <w:b/>
          <w:bCs/>
          <w:lang w:val="en"/>
        </w:rPr>
        <w:t>1803 (4-0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Established the Supreme Court's power of judicial review over Congress.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 xml:space="preserve">McCulloch v. Maryland, </w:t>
      </w:r>
      <w:r w:rsidRPr="00967C66">
        <w:rPr>
          <w:b/>
          <w:bCs/>
          <w:lang w:val="en"/>
        </w:rPr>
        <w:t>1819 (7-0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Established the federal government's implied powers over the states.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 xml:space="preserve">Dred Scott v. </w:t>
      </w:r>
      <w:proofErr w:type="spellStart"/>
      <w:r w:rsidRPr="00967C66">
        <w:rPr>
          <w:b/>
          <w:bCs/>
          <w:i/>
          <w:iCs/>
          <w:lang w:val="en"/>
        </w:rPr>
        <w:t>Sandford</w:t>
      </w:r>
      <w:proofErr w:type="spellEnd"/>
      <w:r w:rsidRPr="00967C66">
        <w:rPr>
          <w:b/>
          <w:bCs/>
          <w:i/>
          <w:iCs/>
          <w:lang w:val="en"/>
        </w:rPr>
        <w:t xml:space="preserve">, </w:t>
      </w:r>
      <w:r w:rsidRPr="00967C66">
        <w:rPr>
          <w:b/>
          <w:bCs/>
          <w:lang w:val="en"/>
        </w:rPr>
        <w:t xml:space="preserve">1857 (7-2 decision) 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Denied citizenship to African American slaves.</w:t>
      </w:r>
    </w:p>
    <w:p w:rsidR="00967C66" w:rsidRPr="00967C66" w:rsidRDefault="00967C66" w:rsidP="00967C66">
      <w:pPr>
        <w:rPr>
          <w:lang w:val="en"/>
        </w:rPr>
      </w:pPr>
      <w:r w:rsidRPr="00967C66">
        <w:drawing>
          <wp:inline distT="0" distB="0" distL="0" distR="0">
            <wp:extent cx="1028700" cy="771525"/>
            <wp:effectExtent l="0" t="0" r="0" b="9525"/>
            <wp:docPr id="15" name="Picture 15" descr="The photograph taken in the 1800s of slave Dred S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he photograph taken in the 1800s of slave Dred Scot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80" cy="7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 </w:t>
      </w:r>
      <w:r>
        <w:rPr>
          <w:sz w:val="18"/>
          <w:szCs w:val="18"/>
          <w:lang w:val="en"/>
        </w:rPr>
        <w:t xml:space="preserve">The slave Dred Scott. </w:t>
      </w:r>
      <w:r w:rsidRPr="00967C66">
        <w:rPr>
          <w:sz w:val="18"/>
          <w:szCs w:val="18"/>
          <w:lang w:val="en"/>
        </w:rPr>
        <w:t>Scott's legal fight for freedom became a landmark U.S. court ruling.</w:t>
      </w:r>
      <w:r w:rsidRPr="00967C66">
        <w:rPr>
          <w:lang w:val="en"/>
        </w:rPr>
        <w:t> 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>Plessy v. Ferguson,</w:t>
      </w:r>
      <w:r w:rsidRPr="00967C66">
        <w:rPr>
          <w:b/>
          <w:bCs/>
          <w:lang w:val="en"/>
        </w:rPr>
        <w:t xml:space="preserve"> 1896 (7-1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Upheld "separate but equal" segregation laws in states.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>Korematsu v. United States</w:t>
      </w:r>
      <w:r w:rsidRPr="00967C66">
        <w:rPr>
          <w:b/>
          <w:bCs/>
          <w:lang w:val="en"/>
        </w:rPr>
        <w:t>, 1944 (6-3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Upheld internment of Japanese Americans during World War II.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>Brown v. Board of Education</w:t>
      </w:r>
      <w:r w:rsidRPr="00967C66">
        <w:rPr>
          <w:b/>
          <w:bCs/>
          <w:lang w:val="en"/>
        </w:rPr>
        <w:t>, 1954 (9-0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Separating black and white students in public schools is unconstitutional.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 xml:space="preserve">Gideon v. Wainwright, </w:t>
      </w:r>
      <w:r w:rsidRPr="00967C66">
        <w:rPr>
          <w:b/>
          <w:bCs/>
          <w:lang w:val="en"/>
        </w:rPr>
        <w:t>1963 (9-0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Criminal defendants have a right to an attorney even if they cannot afford one.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 xml:space="preserve">Miranda v. Arizona, </w:t>
      </w:r>
      <w:r w:rsidRPr="00967C66">
        <w:rPr>
          <w:b/>
          <w:bCs/>
          <w:lang w:val="en"/>
        </w:rPr>
        <w:t>1966 (5-4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Prisoners must be advised of their rights before being questioned by police.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 xml:space="preserve">Loving v. Virginia, </w:t>
      </w:r>
      <w:r w:rsidRPr="00967C66">
        <w:rPr>
          <w:b/>
          <w:bCs/>
          <w:lang w:val="en"/>
        </w:rPr>
        <w:t xml:space="preserve">1967 (9-0 decision) 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Invalidated state laws prohibiting interracial marriage.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>Roe v. Wade</w:t>
      </w:r>
      <w:r w:rsidRPr="00967C66">
        <w:rPr>
          <w:b/>
          <w:bCs/>
          <w:lang w:val="en"/>
        </w:rPr>
        <w:t>, 1973 (7-2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Women have a constitutional right to an abortion during the first two trimesters.</w:t>
      </w:r>
    </w:p>
    <w:p w:rsidR="00967C66" w:rsidRPr="00967C66" w:rsidRDefault="00967C66" w:rsidP="00967C66">
      <w:pPr>
        <w:rPr>
          <w:lang w:val="en"/>
        </w:rPr>
      </w:pPr>
      <w:r w:rsidRPr="00967C66">
        <w:drawing>
          <wp:inline distT="0" distB="0" distL="0" distR="0">
            <wp:extent cx="1304925" cy="978694"/>
            <wp:effectExtent l="0" t="0" r="0" b="0"/>
            <wp:docPr id="13" name="Picture 13" descr="Anti-abortion and pro-choice demonstrators argue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nti-abortion and pro-choice demonstrators argue 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100" cy="9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 </w:t>
      </w:r>
      <w:r w:rsidRPr="00967C66">
        <w:rPr>
          <w:sz w:val="18"/>
          <w:szCs w:val="18"/>
          <w:lang w:val="en"/>
        </w:rPr>
        <w:t xml:space="preserve">Anti-abortion and pro-choice demonstrators argue in front of the Supreme Court during the March for Life on Jan. 24, 2011, an annual event marking the anniversary of the landmark Roe </w:t>
      </w:r>
      <w:proofErr w:type="gramStart"/>
      <w:r w:rsidRPr="00967C66">
        <w:rPr>
          <w:sz w:val="18"/>
          <w:szCs w:val="18"/>
          <w:lang w:val="en"/>
        </w:rPr>
        <w:t>v.</w:t>
      </w:r>
      <w:proofErr w:type="gramEnd"/>
      <w:r w:rsidRPr="00967C66">
        <w:rPr>
          <w:sz w:val="18"/>
          <w:szCs w:val="18"/>
          <w:lang w:val="en"/>
        </w:rPr>
        <w:t xml:space="preserve"> Wade decision.</w:t>
      </w:r>
      <w:r w:rsidRPr="00967C66">
        <w:rPr>
          <w:lang w:val="en"/>
        </w:rPr>
        <w:t> </w:t>
      </w:r>
    </w:p>
    <w:p w:rsidR="00967C66" w:rsidRPr="00967C66" w:rsidRDefault="00967C66" w:rsidP="00967C66">
      <w:pPr>
        <w:rPr>
          <w:lang w:val="en"/>
        </w:rPr>
      </w:pP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lastRenderedPageBreak/>
        <w:t>United States v. Nixon</w:t>
      </w:r>
      <w:r w:rsidRPr="00967C66">
        <w:rPr>
          <w:b/>
          <w:bCs/>
          <w:lang w:val="en"/>
        </w:rPr>
        <w:t>, 1974 (8-0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President cannot use executive privilege to withhold evidence from criminal trial.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>Regents of the University of California v. Bakke,</w:t>
      </w:r>
      <w:r w:rsidRPr="00967C66">
        <w:rPr>
          <w:b/>
          <w:bCs/>
          <w:lang w:val="en"/>
        </w:rPr>
        <w:t xml:space="preserve"> 1978 (5-4 decision) 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Upheld use of race as one of many factors in college admissions.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>Bush v. Gore,</w:t>
      </w:r>
      <w:r w:rsidRPr="00967C66">
        <w:rPr>
          <w:b/>
          <w:bCs/>
          <w:lang w:val="en"/>
        </w:rPr>
        <w:t xml:space="preserve"> 2000 (5-4 decision) 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No recount of the 2000 presidential election was feasible in a reasonable time period.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>Lawrence v. Texas</w:t>
      </w:r>
      <w:r w:rsidRPr="00967C66">
        <w:rPr>
          <w:b/>
          <w:bCs/>
          <w:lang w:val="en"/>
        </w:rPr>
        <w:t>, 2003 (6-3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Struck down state laws that prohibited sodomy between consenting adults.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>District of Columbia v. Heller</w:t>
      </w:r>
      <w:r w:rsidRPr="00967C66">
        <w:rPr>
          <w:b/>
          <w:bCs/>
          <w:lang w:val="en"/>
        </w:rPr>
        <w:t>, 2008 (5-4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Citizens have a right to possess firearms at home for self-defense.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 xml:space="preserve">Citizens United </w:t>
      </w:r>
      <w:proofErr w:type="gramStart"/>
      <w:r w:rsidRPr="00967C66">
        <w:rPr>
          <w:b/>
          <w:bCs/>
          <w:i/>
          <w:iCs/>
          <w:lang w:val="en"/>
        </w:rPr>
        <w:t>v.</w:t>
      </w:r>
      <w:proofErr w:type="gramEnd"/>
      <w:r w:rsidRPr="00967C66">
        <w:rPr>
          <w:b/>
          <w:bCs/>
          <w:i/>
          <w:iCs/>
          <w:lang w:val="en"/>
        </w:rPr>
        <w:t xml:space="preserve"> Federal Election Commission</w:t>
      </w:r>
      <w:r w:rsidRPr="00967C66">
        <w:rPr>
          <w:b/>
          <w:bCs/>
          <w:lang w:val="en"/>
        </w:rPr>
        <w:t xml:space="preserve">, 2010 (5-4 decision) 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Corporations and unions can spend unlimited amounts in elections.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 xml:space="preserve">National Federation of Independent Business v. </w:t>
      </w:r>
      <w:proofErr w:type="spellStart"/>
      <w:r w:rsidRPr="00967C66">
        <w:rPr>
          <w:b/>
          <w:bCs/>
          <w:i/>
          <w:iCs/>
          <w:lang w:val="en"/>
        </w:rPr>
        <w:t>Sebelius</w:t>
      </w:r>
      <w:proofErr w:type="spellEnd"/>
      <w:r w:rsidRPr="00967C66">
        <w:rPr>
          <w:b/>
          <w:bCs/>
          <w:lang w:val="en"/>
        </w:rPr>
        <w:t xml:space="preserve">, 2012 (5-4 decision) 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Upheld the mandate that most Americans have health insurance.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 xml:space="preserve">Shelby County </w:t>
      </w:r>
      <w:proofErr w:type="gramStart"/>
      <w:r w:rsidRPr="00967C66">
        <w:rPr>
          <w:b/>
          <w:bCs/>
          <w:i/>
          <w:iCs/>
          <w:lang w:val="en"/>
        </w:rPr>
        <w:t>v.</w:t>
      </w:r>
      <w:proofErr w:type="gramEnd"/>
      <w:r w:rsidRPr="00967C66">
        <w:rPr>
          <w:b/>
          <w:bCs/>
          <w:i/>
          <w:iCs/>
          <w:lang w:val="en"/>
        </w:rPr>
        <w:t xml:space="preserve"> Holder</w:t>
      </w:r>
      <w:r w:rsidRPr="00967C66">
        <w:rPr>
          <w:b/>
          <w:bCs/>
          <w:lang w:val="en"/>
        </w:rPr>
        <w:t>, 2013 (5-4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States and localities do not need federal approval to change voting laws.</w:t>
      </w:r>
    </w:p>
    <w:p w:rsidR="00967C66" w:rsidRPr="00967C66" w:rsidRDefault="00967C66" w:rsidP="00967C66">
      <w:pPr>
        <w:rPr>
          <w:lang w:val="en"/>
        </w:rPr>
      </w:pPr>
      <w:r w:rsidRPr="00967C66">
        <w:drawing>
          <wp:inline distT="0" distB="0" distL="0" distR="0">
            <wp:extent cx="1549400" cy="1162050"/>
            <wp:effectExtent l="0" t="0" r="0" b="0"/>
            <wp:docPr id="11" name="Picture 11" descr="Ryan P. Haygood, director of the NAACP Legal Def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yan P. Haygood, director of the NAACP Legal Defen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73" cy="116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 </w:t>
      </w:r>
      <w:r w:rsidRPr="00967C66">
        <w:rPr>
          <w:sz w:val="18"/>
          <w:szCs w:val="18"/>
          <w:lang w:val="en"/>
        </w:rPr>
        <w:t xml:space="preserve">Ryan P. </w:t>
      </w:r>
      <w:proofErr w:type="spellStart"/>
      <w:r w:rsidRPr="00967C66">
        <w:rPr>
          <w:sz w:val="18"/>
          <w:szCs w:val="18"/>
          <w:lang w:val="en"/>
        </w:rPr>
        <w:t>Haygood</w:t>
      </w:r>
      <w:proofErr w:type="spellEnd"/>
      <w:r w:rsidRPr="00967C66">
        <w:rPr>
          <w:sz w:val="18"/>
          <w:szCs w:val="18"/>
          <w:lang w:val="en"/>
        </w:rPr>
        <w:t xml:space="preserve">, director of the NAACP Legal Defense Fund, talks outside the Supreme Court in on June 25, 2013, about the Shelby County </w:t>
      </w:r>
      <w:proofErr w:type="gramStart"/>
      <w:r w:rsidRPr="00967C66">
        <w:rPr>
          <w:sz w:val="18"/>
          <w:szCs w:val="18"/>
          <w:lang w:val="en"/>
        </w:rPr>
        <w:t>v.</w:t>
      </w:r>
      <w:proofErr w:type="gramEnd"/>
      <w:r w:rsidRPr="00967C66">
        <w:rPr>
          <w:sz w:val="18"/>
          <w:szCs w:val="18"/>
          <w:lang w:val="en"/>
        </w:rPr>
        <w:t xml:space="preserve"> Holder voting rights case. 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>United States v. Windsor</w:t>
      </w:r>
      <w:r w:rsidRPr="00967C66">
        <w:rPr>
          <w:b/>
          <w:bCs/>
          <w:lang w:val="en"/>
        </w:rPr>
        <w:t xml:space="preserve">, 2013 (5-4 decision) 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Federal government must provide benefits to legally married same-sex couples.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b/>
          <w:bCs/>
          <w:i/>
          <w:iCs/>
          <w:lang w:val="en"/>
        </w:rPr>
        <w:t xml:space="preserve">Obergefell v. Hodges, </w:t>
      </w:r>
      <w:r w:rsidRPr="00967C66">
        <w:rPr>
          <w:b/>
          <w:bCs/>
          <w:lang w:val="en"/>
        </w:rPr>
        <w:t>2015 (5-4 decision)</w:t>
      </w:r>
    </w:p>
    <w:p w:rsidR="00967C66" w:rsidRPr="00967C66" w:rsidRDefault="00967C66" w:rsidP="00967C66">
      <w:pPr>
        <w:rPr>
          <w:lang w:val="en"/>
        </w:rPr>
      </w:pPr>
      <w:r w:rsidRPr="00967C66">
        <w:rPr>
          <w:lang w:val="en"/>
        </w:rPr>
        <w:t>Same-sex marriage is legalized across all 50 states.</w:t>
      </w:r>
    </w:p>
    <w:p w:rsidR="00967C66" w:rsidRPr="00967C66" w:rsidRDefault="00967C66" w:rsidP="00967C66">
      <w:pPr>
        <w:rPr>
          <w:rStyle w:val="Hyperlink"/>
          <w:vanish/>
        </w:rPr>
      </w:pPr>
      <w:r w:rsidRPr="00967C66">
        <w:rPr>
          <w:vanish/>
          <w:lang w:val="en"/>
        </w:rPr>
        <w:fldChar w:fldCharType="begin"/>
      </w:r>
      <w:r w:rsidRPr="00967C66">
        <w:rPr>
          <w:vanish/>
          <w:lang w:val="en"/>
        </w:rPr>
        <w:instrText xml:space="preserve"> HYPERLINK "javascript:void(0)" </w:instrText>
      </w:r>
      <w:r w:rsidRPr="00967C66">
        <w:rPr>
          <w:vanish/>
          <w:lang w:val="en"/>
        </w:rPr>
        <w:fldChar w:fldCharType="separate"/>
      </w:r>
    </w:p>
    <w:p w:rsidR="00967C66" w:rsidRPr="00967C66" w:rsidRDefault="00967C66" w:rsidP="00967C66">
      <w:pPr>
        <w:rPr>
          <w:rStyle w:val="Hyperlink"/>
        </w:rPr>
      </w:pPr>
      <w:r w:rsidRPr="00967C66">
        <w:rPr>
          <w:rStyle w:val="Hyperlink"/>
          <w:vanish/>
          <w:lang w:val="en"/>
        </w:rPr>
        <w:t>close dialog</w:t>
      </w:r>
    </w:p>
    <w:p w:rsidR="00967C66" w:rsidRPr="00967C66" w:rsidRDefault="00967C66" w:rsidP="00967C66">
      <w:pPr>
        <w:rPr>
          <w:vanish/>
          <w:lang w:val="en"/>
        </w:rPr>
      </w:pPr>
      <w:r w:rsidRPr="00967C66">
        <w:fldChar w:fldCharType="end"/>
      </w:r>
    </w:p>
    <w:p w:rsidR="00967C66" w:rsidRPr="00967C66" w:rsidRDefault="00967C66" w:rsidP="00967C66">
      <w:pPr>
        <w:rPr>
          <w:vanish/>
        </w:rPr>
      </w:pPr>
      <w:r w:rsidRPr="00967C66">
        <w:rPr>
          <w:vanish/>
        </w:rPr>
        <w:t>Top of Form</w:t>
      </w:r>
    </w:p>
    <w:p w:rsidR="00967C66" w:rsidRPr="00967C66" w:rsidRDefault="00967C66" w:rsidP="00967C66">
      <w:pPr>
        <w:rPr>
          <w:vanish/>
          <w:lang w:val="en"/>
        </w:rPr>
      </w:pPr>
      <w:r w:rsidRPr="00967C66">
        <w:rPr>
          <w:vanish/>
          <w:lang w:val="e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1in;height:18pt" o:ole="">
            <v:imagedata r:id="rId7" o:title=""/>
          </v:shape>
          <w:control r:id="rId8" w:name="DefaultOcxName" w:shapeid="_x0000_i1090"/>
        </w:object>
      </w:r>
    </w:p>
    <w:p w:rsidR="00967C66" w:rsidRPr="00967C66" w:rsidRDefault="00967C66" w:rsidP="00967C66">
      <w:pPr>
        <w:rPr>
          <w:vanish/>
          <w:lang w:val="en"/>
        </w:rPr>
      </w:pPr>
      <w:r w:rsidRPr="00967C66">
        <w:rPr>
          <w:vanish/>
        </w:rPr>
        <w:drawing>
          <wp:inline distT="0" distB="0" distL="0" distR="0">
            <wp:extent cx="3495675" cy="8439150"/>
            <wp:effectExtent l="0" t="0" r="9525" b="0"/>
            <wp:docPr id="10" name="Picture 10" descr="https://assets.bounceexchange.com/assets/uploads/clients/2338/creatives/356b9705c09fce7c516480ceffd72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assets.bounceexchange.com/assets/uploads/clients/2338/creatives/356b9705c09fce7c516480ceffd72e6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66" w:rsidRPr="00967C66" w:rsidRDefault="00967C66" w:rsidP="00967C66">
      <w:pPr>
        <w:rPr>
          <w:vanish/>
          <w:lang w:val="en"/>
        </w:rPr>
      </w:pPr>
      <w:r w:rsidRPr="00967C66">
        <w:rPr>
          <w:vanish/>
          <w:lang w:val="en"/>
        </w:rPr>
        <w:t>ON POLITICS NEWSLETTER</w:t>
      </w:r>
    </w:p>
    <w:p w:rsidR="00967C66" w:rsidRPr="00967C66" w:rsidRDefault="00967C66" w:rsidP="00967C66">
      <w:pPr>
        <w:rPr>
          <w:vanish/>
          <w:lang w:val="en"/>
        </w:rPr>
      </w:pPr>
      <w:r w:rsidRPr="00967C66">
        <w:rPr>
          <w:vanish/>
          <w:lang w:val="en"/>
        </w:rPr>
        <w:t xml:space="preserve">For political junkies who want a </w:t>
      </w:r>
      <w:r w:rsidRPr="00967C66">
        <w:rPr>
          <w:vanish/>
          <w:lang w:val="en"/>
        </w:rPr>
        <w:br/>
        <w:t>little attitude with their democracy.</w:t>
      </w:r>
    </w:p>
    <w:p w:rsidR="00967C66" w:rsidRPr="00967C66" w:rsidRDefault="00967C66" w:rsidP="00967C66">
      <w:pPr>
        <w:rPr>
          <w:vanish/>
          <w:lang w:val="en"/>
        </w:rPr>
      </w:pPr>
      <w:r w:rsidRPr="00967C66">
        <w:rPr>
          <w:vanish/>
          <w:lang w:val="en"/>
        </w:rPr>
        <w:t>Please enter above</w:t>
      </w:r>
    </w:p>
    <w:p w:rsidR="00967C66" w:rsidRPr="00967C66" w:rsidRDefault="00967C66" w:rsidP="00967C66">
      <w:pPr>
        <w:rPr>
          <w:vanish/>
          <w:lang w:val="en"/>
        </w:rPr>
      </w:pPr>
      <w:r w:rsidRPr="00967C66">
        <w:rPr>
          <w:vanish/>
          <w:lang w:val="en"/>
        </w:rPr>
        <w:t>Sign Me Up</w:t>
      </w:r>
    </w:p>
    <w:p w:rsidR="00967C66" w:rsidRPr="00967C66" w:rsidRDefault="00967C66" w:rsidP="00967C66">
      <w:pPr>
        <w:rPr>
          <w:vanish/>
        </w:rPr>
      </w:pPr>
      <w:r w:rsidRPr="00967C66">
        <w:rPr>
          <w:vanish/>
        </w:rPr>
        <w:t>Bottom of Form</w:t>
      </w:r>
    </w:p>
    <w:p w:rsidR="00967C66" w:rsidRPr="00967C66" w:rsidRDefault="00967C66" w:rsidP="00967C66">
      <w:pPr>
        <w:rPr>
          <w:rStyle w:val="Hyperlink"/>
        </w:rPr>
      </w:pPr>
      <w:r w:rsidRPr="00967C66">
        <w:rPr>
          <w:vanish/>
          <w:lang w:val="en"/>
        </w:rPr>
        <w:fldChar w:fldCharType="begin"/>
      </w:r>
      <w:r w:rsidRPr="00967C66">
        <w:rPr>
          <w:vanish/>
          <w:lang w:val="en"/>
        </w:rPr>
        <w:instrText xml:space="preserve"> HYPERLINK "javascript:void(0)" </w:instrText>
      </w:r>
      <w:r w:rsidRPr="00967C66">
        <w:rPr>
          <w:vanish/>
          <w:lang w:val="en"/>
        </w:rPr>
        <w:fldChar w:fldCharType="separate"/>
      </w:r>
    </w:p>
    <w:p w:rsidR="00967C66" w:rsidRPr="00967C66" w:rsidRDefault="00967C66" w:rsidP="00967C66">
      <w:pPr>
        <w:rPr>
          <w:rStyle w:val="Hyperlink"/>
        </w:rPr>
      </w:pPr>
      <w:r w:rsidRPr="00967C66">
        <w:rPr>
          <w:rStyle w:val="Hyperlink"/>
          <w:vanish/>
          <w:lang w:val="en"/>
        </w:rPr>
        <w:t>close dialog</w:t>
      </w:r>
    </w:p>
    <w:p w:rsidR="00967C66" w:rsidRPr="00967C66" w:rsidRDefault="00967C66" w:rsidP="00967C66">
      <w:pPr>
        <w:rPr>
          <w:vanish/>
          <w:lang w:val="en"/>
        </w:rPr>
      </w:pPr>
      <w:r w:rsidRPr="00967C66">
        <w:fldChar w:fldCharType="end"/>
      </w:r>
      <w:bookmarkStart w:id="0" w:name="_GoBack"/>
      <w:bookmarkEnd w:id="0"/>
    </w:p>
    <w:p w:rsidR="005363CC" w:rsidRDefault="005363CC"/>
    <w:sectPr w:rsidR="00536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66"/>
    <w:rsid w:val="005363CC"/>
    <w:rsid w:val="009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F268"/>
  <w15:chartTrackingRefBased/>
  <w15:docId w15:val="{80AB8E53-6859-4DC5-AEB1-CA0B579D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5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2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2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3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1265">
                      <w:marLeft w:val="750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8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5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6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98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831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6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9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15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6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4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1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8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3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6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8591">
                      <w:marLeft w:val="750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14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2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8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8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00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1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1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4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4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1</cp:revision>
  <dcterms:created xsi:type="dcterms:W3CDTF">2018-02-07T09:30:00Z</dcterms:created>
  <dcterms:modified xsi:type="dcterms:W3CDTF">2018-02-07T09:39:00Z</dcterms:modified>
</cp:coreProperties>
</file>